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7920D372" w:rsidR="009E7D0C" w:rsidRPr="00B3568A" w:rsidRDefault="00B3568A" w:rsidP="00B3568A">
      <w:pPr>
        <w:jc w:val="center"/>
        <w:rPr>
          <w:rFonts w:ascii="Times New Roman" w:hAnsi="Times New Roman"/>
          <w:sz w:val="24"/>
          <w:szCs w:val="22"/>
        </w:rPr>
      </w:pPr>
      <w:bookmarkStart w:id="0" w:name="_Toc262568021"/>
      <w:bookmarkStart w:id="1" w:name="_Toc295829847"/>
      <w:r>
        <w:rPr>
          <w:rFonts w:ascii="Times New Roman" w:hAnsi="Times New Roman"/>
          <w:sz w:val="24"/>
        </w:rPr>
        <w:t>NL</w:t>
      </w:r>
    </w:p>
    <w:p w14:paraId="2704A83C" w14:textId="77777777" w:rsidR="009E7D0C" w:rsidRPr="00037E7B" w:rsidRDefault="009E7D0C" w:rsidP="00A33695">
      <w:pPr>
        <w:jc w:val="center"/>
        <w:rPr>
          <w:rFonts w:ascii="Times New Roman" w:hAnsi="Times New Roman"/>
          <w:sz w:val="24"/>
        </w:rPr>
      </w:pPr>
    </w:p>
    <w:p w14:paraId="24333E7A" w14:textId="5D6FD9D5" w:rsidR="008D696E" w:rsidRPr="00037E7B" w:rsidRDefault="008D696E" w:rsidP="00A33695">
      <w:pPr>
        <w:jc w:val="center"/>
        <w:rPr>
          <w:rFonts w:ascii="Times New Roman" w:hAnsi="Times New Roman"/>
          <w:sz w:val="24"/>
        </w:rPr>
      </w:pPr>
      <w:r>
        <w:rPr>
          <w:rFonts w:ascii="Times New Roman" w:hAnsi="Times New Roman"/>
          <w:sz w:val="24"/>
        </w:rPr>
        <w:t>BIJLAGE II</w:t>
      </w:r>
    </w:p>
    <w:p w14:paraId="37362007" w14:textId="6FB5EC15" w:rsidR="002648B0" w:rsidRPr="00037E7B" w:rsidRDefault="008D696E" w:rsidP="00A33695">
      <w:pPr>
        <w:jc w:val="center"/>
        <w:rPr>
          <w:rFonts w:ascii="Times New Roman" w:hAnsi="Times New Roman"/>
          <w:sz w:val="24"/>
        </w:rPr>
      </w:pPr>
      <w:r>
        <w:rPr>
          <w:rFonts w:ascii="Times New Roman" w:hAnsi="Times New Roman"/>
          <w:sz w:val="24"/>
        </w:rPr>
        <w:t>“BIJLAGE II</w:t>
      </w:r>
    </w:p>
    <w:p w14:paraId="327777EC" w14:textId="77777777" w:rsidR="002648B0" w:rsidRPr="00037E7B" w:rsidRDefault="00D11E4C" w:rsidP="00C87CEE">
      <w:pPr>
        <w:jc w:val="center"/>
        <w:rPr>
          <w:rFonts w:ascii="Times New Roman" w:hAnsi="Times New Roman"/>
          <w:b/>
          <w:sz w:val="24"/>
        </w:rPr>
      </w:pPr>
      <w:r>
        <w:rPr>
          <w:rFonts w:ascii="Times New Roman" w:hAnsi="Times New Roman"/>
          <w:b/>
          <w:sz w:val="24"/>
        </w:rPr>
        <w:t>INSTRUCTIES VOOR RAPPORTAGE INZAKE EIGEN VERMOGEN EN EIGENVERMOGENSVEREISTEN</w:t>
      </w:r>
    </w:p>
    <w:p w14:paraId="2C40683C" w14:textId="77777777" w:rsidR="00436204" w:rsidRPr="00037E7B" w:rsidRDefault="00436204" w:rsidP="00C87CEE">
      <w:pPr>
        <w:jc w:val="center"/>
        <w:rPr>
          <w:rFonts w:ascii="Times New Roman" w:hAnsi="Times New Roman"/>
          <w:b/>
          <w:sz w:val="24"/>
          <w:lang w:eastAsia="de-DE"/>
        </w:rPr>
      </w:pPr>
    </w:p>
    <w:p w14:paraId="7E85F65D" w14:textId="77777777" w:rsidR="002648B0" w:rsidRPr="00037E7B" w:rsidRDefault="002648B0" w:rsidP="00005FFC">
      <w:pPr>
        <w:rPr>
          <w:rFonts w:ascii="Times New Roman" w:hAnsi="Times New Roman"/>
          <w:sz w:val="24"/>
        </w:rPr>
      </w:pPr>
    </w:p>
    <w:p w14:paraId="74494658" w14:textId="77777777" w:rsidR="002648B0" w:rsidRPr="00037E7B" w:rsidRDefault="002648B0" w:rsidP="00D64B66">
      <w:pPr>
        <w:pStyle w:val="Heading2"/>
        <w:rPr>
          <w:rFonts w:ascii="Times New Roman" w:hAnsi="Times New Roman"/>
        </w:rPr>
      </w:pPr>
      <w:bookmarkStart w:id="2" w:name="_Toc360188322"/>
      <w:bookmarkStart w:id="3" w:name="_Toc473560870"/>
      <w:bookmarkStart w:id="4" w:name="_Toc151714358"/>
      <w:r>
        <w:rPr>
          <w:rFonts w:ascii="Times New Roman" w:hAnsi="Times New Roman"/>
        </w:rPr>
        <w:t>DEEL II: INSTRUCTIES MET BETREKKING TOT DE TEMPLATES</w:t>
      </w:r>
      <w:bookmarkEnd w:id="2"/>
      <w:bookmarkEnd w:id="3"/>
      <w:bookmarkEnd w:id="4"/>
    </w:p>
    <w:p w14:paraId="76BE57B6" w14:textId="77777777" w:rsidR="00964546" w:rsidRPr="00037E7B" w:rsidRDefault="00964546" w:rsidP="00964546">
      <w:pPr>
        <w:rPr>
          <w:lang w:eastAsia="x-none"/>
        </w:rPr>
      </w:pPr>
    </w:p>
    <w:p w14:paraId="31A06314" w14:textId="70B4B7D9" w:rsidR="00964546" w:rsidRPr="00037E7B" w:rsidRDefault="00964546" w:rsidP="00964546">
      <w:r>
        <w:t>(…)</w:t>
      </w:r>
    </w:p>
    <w:p w14:paraId="607D2E45" w14:textId="2ECC5240" w:rsidR="00AB3069" w:rsidRPr="00037E7B" w:rsidRDefault="003E6AEB" w:rsidP="000059B8">
      <w:pPr>
        <w:pStyle w:val="Instructionsberschrift2"/>
        <w:numPr>
          <w:ilvl w:val="0"/>
          <w:numId w:val="0"/>
        </w:numPr>
        <w:ind w:left="357" w:hanging="357"/>
      </w:pPr>
      <w:bookmarkStart w:id="5" w:name="_Toc151714534"/>
      <w:bookmarkEnd w:id="0"/>
      <w:bookmarkEnd w:id="1"/>
      <w:r>
        <w:rPr>
          <w:rFonts w:ascii="Times New Roman" w:hAnsi="Times New Roman"/>
          <w:sz w:val="24"/>
        </w:rPr>
        <w:t>9. Drempelwaarden voor handelsportefeuille en marktrisico, de grens tussen handelsportefeuille en niet-handelsportefeuille en herindelingen</w:t>
      </w:r>
      <w:bookmarkEnd w:id="5"/>
    </w:p>
    <w:p w14:paraId="1FF5D1DF" w14:textId="771ED598" w:rsidR="00A4497F" w:rsidRPr="00037E7B" w:rsidRDefault="003E6AEB" w:rsidP="00A4497F">
      <w:pPr>
        <w:pStyle w:val="Instructionsberschrift2"/>
        <w:numPr>
          <w:ilvl w:val="0"/>
          <w:numId w:val="0"/>
        </w:numPr>
        <w:ind w:left="357" w:hanging="357"/>
        <w:rPr>
          <w:rFonts w:ascii="Times New Roman" w:hAnsi="Times New Roman" w:cs="Times New Roman"/>
          <w:sz w:val="24"/>
        </w:rPr>
      </w:pPr>
      <w:bookmarkStart w:id="6" w:name="_Toc7084156"/>
      <w:bookmarkStart w:id="7" w:name="_Toc37168636"/>
      <w:bookmarkStart w:id="8" w:name="_Toc151714535"/>
      <w:r>
        <w:rPr>
          <w:rFonts w:ascii="Times New Roman" w:hAnsi="Times New Roman"/>
          <w:sz w:val="24"/>
        </w:rPr>
        <w:t>9.1.</w:t>
      </w:r>
      <w:r>
        <w:rPr>
          <w:rFonts w:ascii="Times New Roman" w:hAnsi="Times New Roman"/>
          <w:sz w:val="24"/>
        </w:rPr>
        <w:tab/>
      </w:r>
      <w:bookmarkEnd w:id="6"/>
      <w:r>
        <w:rPr>
          <w:rFonts w:ascii="Times New Roman" w:hAnsi="Times New Roman"/>
          <w:sz w:val="24"/>
        </w:rPr>
        <w:t>C 90.00 – Drempelwaarden voor handelsportefeuille en marktrisico</w:t>
      </w:r>
      <w:bookmarkEnd w:id="7"/>
      <w:bookmarkEnd w:id="8"/>
    </w:p>
    <w:p w14:paraId="458F8B64"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9" w:name="_Toc151714536"/>
      <w:r>
        <w:rPr>
          <w:rFonts w:ascii="Times New Roman" w:hAnsi="Times New Roman"/>
          <w:sz w:val="24"/>
          <w:u w:val="none"/>
        </w:rPr>
        <w:t>9.1.1.</w:t>
      </w:r>
      <w:r>
        <w:rPr>
          <w:rFonts w:ascii="Times New Roman" w:hAnsi="Times New Roman"/>
          <w:u w:val="none"/>
        </w:rPr>
        <w:tab/>
      </w:r>
      <w:r>
        <w:rPr>
          <w:rFonts w:ascii="Times New Roman" w:hAnsi="Times New Roman"/>
          <w:sz w:val="24"/>
          <w:u w:val="none"/>
        </w:rPr>
        <w:t>Algemene opmerkingen</w:t>
      </w:r>
    </w:p>
    <w:p w14:paraId="2EE35BE9" w14:textId="77777777" w:rsidR="00F65FA6" w:rsidRPr="00037E7B" w:rsidRDefault="00F65FA6" w:rsidP="00F65FA6">
      <w:pPr>
        <w:pStyle w:val="InstructionsText2"/>
        <w:numPr>
          <w:ilvl w:val="0"/>
          <w:numId w:val="61"/>
        </w:numPr>
        <w:spacing w:line="259" w:lineRule="auto"/>
      </w:pPr>
      <w:r>
        <w:t>De in deze template verstrekte informatie weerspiegelt het resultaat van de in artikel 94 van Verordening (EU) nr. 575/2013 bedoelde berekening (afwijking voor kleine handelsportefeuilleactiviteiten) en de omvang van de activiteiten van een instelling binnen en buiten de balanstelling waaraan marktrisico verbonden is, berekend overeenkomstig artikel 325 bis van Verordening (EU) nr. 575/2013.</w:t>
      </w:r>
    </w:p>
    <w:p w14:paraId="6349D8A7"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10" w:name="_Toc37168638"/>
      <w:r>
        <w:rPr>
          <w:rFonts w:ascii="Times New Roman" w:hAnsi="Times New Roman"/>
          <w:sz w:val="24"/>
          <w:u w:val="none"/>
        </w:rPr>
        <w:t>9.1.2.</w:t>
      </w:r>
      <w:r>
        <w:rPr>
          <w:rFonts w:ascii="Times New Roman" w:hAnsi="Times New Roman"/>
          <w:sz w:val="24"/>
          <w:u w:val="none"/>
        </w:rPr>
        <w:tab/>
        <w:t>Instructies voor specifieke posities</w:t>
      </w:r>
      <w:bookmarkEnd w:id="10"/>
    </w:p>
    <w:p w14:paraId="230964CC" w14:textId="77777777" w:rsidR="00F65FA6" w:rsidRPr="00037E7B" w:rsidRDefault="00F65FA6" w:rsidP="00F65FA6">
      <w:pPr>
        <w:pStyle w:val="InstructionsText2"/>
        <w:numPr>
          <w:ilvl w:val="0"/>
          <w:numId w:val="61"/>
        </w:numPr>
        <w:spacing w:line="259" w:lineRule="auto"/>
      </w:pPr>
      <w:r>
        <w:t>Het resultaat van de in artikel 94 van Verordening (EU) nr. 575/2013 bedoelde berekening en de overeenkomstig artikel 325 bis van Verordening (EU) nr. 575/2013 berekende informatie over de omvang van de activiteiten van een instelling binnen en buiten de balanstelling waaraan marktrisico verbonden is, worden voor het einde van elke maand afzonderlijk gerapporteerd in de rijen 0010 tot en met 0030 in het kwartaal waarnaar het verslag verwijst.</w:t>
      </w:r>
    </w:p>
    <w:tbl>
      <w:tblPr>
        <w:tblStyle w:val="TableGrid"/>
        <w:tblW w:w="0" w:type="auto"/>
        <w:tblLook w:val="04A0" w:firstRow="1" w:lastRow="0" w:firstColumn="1" w:lastColumn="0" w:noHBand="0" w:noVBand="1"/>
      </w:tblPr>
      <w:tblGrid>
        <w:gridCol w:w="1063"/>
        <w:gridCol w:w="7953"/>
      </w:tblGrid>
      <w:tr w:rsidR="00F65FA6" w:rsidRPr="00037E7B" w14:paraId="7A8AE764" w14:textId="77777777" w:rsidTr="00E02007">
        <w:tc>
          <w:tcPr>
            <w:tcW w:w="1063" w:type="dxa"/>
            <w:shd w:val="clear" w:color="auto" w:fill="BFBFBF" w:themeFill="background1" w:themeFillShade="BF"/>
          </w:tcPr>
          <w:p w14:paraId="3A6CAFB1"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Rij</w:t>
            </w:r>
          </w:p>
        </w:tc>
        <w:tc>
          <w:tcPr>
            <w:tcW w:w="7953" w:type="dxa"/>
            <w:shd w:val="clear" w:color="auto" w:fill="BFBFBF" w:themeFill="background1" w:themeFillShade="BF"/>
          </w:tcPr>
          <w:p w14:paraId="769CDB03"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Verwijzingen naar wetgeving en instructies</w:t>
            </w:r>
          </w:p>
        </w:tc>
      </w:tr>
      <w:tr w:rsidR="00F65FA6" w:rsidRPr="00037E7B" w14:paraId="3355BF5A" w14:textId="77777777" w:rsidTr="00E02007">
        <w:tc>
          <w:tcPr>
            <w:tcW w:w="1063" w:type="dxa"/>
          </w:tcPr>
          <w:p w14:paraId="3DDBD759"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53" w:type="dxa"/>
          </w:tcPr>
          <w:p w14:paraId="35E13A17"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Maand 3</w:t>
            </w:r>
          </w:p>
          <w:p w14:paraId="1C7E462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Gegevens aan het einde van de derde maand van het kwartaal waarop het verslag betrekking heeft</w:t>
            </w:r>
          </w:p>
        </w:tc>
      </w:tr>
      <w:tr w:rsidR="00F65FA6" w:rsidRPr="00037E7B" w14:paraId="7B4ADC45" w14:textId="77777777" w:rsidTr="00E02007">
        <w:tc>
          <w:tcPr>
            <w:tcW w:w="1063" w:type="dxa"/>
          </w:tcPr>
          <w:p w14:paraId="7B9AA53A"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w:t>
            </w:r>
          </w:p>
        </w:tc>
        <w:tc>
          <w:tcPr>
            <w:tcW w:w="7953" w:type="dxa"/>
          </w:tcPr>
          <w:p w14:paraId="76C1917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Maand 2</w:t>
            </w:r>
          </w:p>
          <w:p w14:paraId="7AF7462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Gegevens aan het einde van de tweede maand van het kwartaal waarop het verslag betrekking heeft</w:t>
            </w:r>
          </w:p>
        </w:tc>
      </w:tr>
      <w:tr w:rsidR="00F65FA6" w:rsidRPr="00037E7B" w14:paraId="3D6489DB" w14:textId="77777777" w:rsidTr="00E02007">
        <w:tc>
          <w:tcPr>
            <w:tcW w:w="1063" w:type="dxa"/>
          </w:tcPr>
          <w:p w14:paraId="01F1336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53" w:type="dxa"/>
          </w:tcPr>
          <w:p w14:paraId="1D4D1B3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Maand 1</w:t>
            </w:r>
          </w:p>
          <w:p w14:paraId="321A7E1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lastRenderedPageBreak/>
              <w:t>Gegevens aan het einde van de eerste maand van het kwartaal waarop het verslag betrekking heeft</w:t>
            </w:r>
          </w:p>
        </w:tc>
      </w:tr>
    </w:tbl>
    <w:p w14:paraId="55096B4D" w14:textId="77777777" w:rsidR="00F65FA6" w:rsidRPr="00037E7B" w:rsidRDefault="00F65FA6" w:rsidP="00F65FA6"/>
    <w:tbl>
      <w:tblPr>
        <w:tblStyle w:val="TableGrid"/>
        <w:tblW w:w="0" w:type="auto"/>
        <w:tblLook w:val="04A0" w:firstRow="1" w:lastRow="0" w:firstColumn="1" w:lastColumn="0" w:noHBand="0" w:noVBand="1"/>
      </w:tblPr>
      <w:tblGrid>
        <w:gridCol w:w="1043"/>
        <w:gridCol w:w="7973"/>
      </w:tblGrid>
      <w:tr w:rsidR="00F65FA6" w:rsidRPr="00037E7B" w14:paraId="6AF8CFCD" w14:textId="77777777" w:rsidTr="00E02007">
        <w:tc>
          <w:tcPr>
            <w:tcW w:w="1043" w:type="dxa"/>
            <w:shd w:val="clear" w:color="auto" w:fill="BFBFBF" w:themeFill="background1" w:themeFillShade="BF"/>
          </w:tcPr>
          <w:p w14:paraId="65665385"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Kolom</w:t>
            </w:r>
          </w:p>
        </w:tc>
        <w:tc>
          <w:tcPr>
            <w:tcW w:w="7973" w:type="dxa"/>
            <w:shd w:val="clear" w:color="auto" w:fill="BFBFBF" w:themeFill="background1" w:themeFillShade="BF"/>
          </w:tcPr>
          <w:p w14:paraId="219EFA66"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Verwijzingen naar wetgeving en instructies</w:t>
            </w:r>
          </w:p>
        </w:tc>
      </w:tr>
      <w:tr w:rsidR="00F65FA6" w:rsidRPr="00037E7B" w14:paraId="57E5CA86" w14:textId="77777777" w:rsidTr="00E02007">
        <w:tc>
          <w:tcPr>
            <w:tcW w:w="1043" w:type="dxa"/>
          </w:tcPr>
          <w:p w14:paraId="6648E6E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73" w:type="dxa"/>
          </w:tcPr>
          <w:p w14:paraId="15CE25E0"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Activiteiten binnen en buiten de balanstelling waaraan marktrisico verbonden is</w:t>
            </w:r>
          </w:p>
          <w:p w14:paraId="208FB79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Artikel 325 bis, lid 2, van Verordening (EU) nr. 575/2013</w:t>
            </w:r>
          </w:p>
          <w:p w14:paraId="44825AE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De instellingen rapporteren het absolute bedrag dat de weerspiegeling is van hun activiteiten binnen en buiten de balanstelling waaraan marktrisico verbonden is, berekend overeenkomstig artikel 325 bis, lid 2, van Verordening (EU) nr. 575/2013. </w:t>
            </w:r>
          </w:p>
        </w:tc>
      </w:tr>
      <w:tr w:rsidR="00F65FA6" w:rsidRPr="00037E7B" w14:paraId="5EBC2E16" w14:textId="77777777" w:rsidTr="00E02007">
        <w:tc>
          <w:tcPr>
            <w:tcW w:w="1043" w:type="dxa"/>
          </w:tcPr>
          <w:p w14:paraId="25974D86"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 – 0060</w:t>
            </w:r>
          </w:p>
        </w:tc>
        <w:tc>
          <w:tcPr>
            <w:tcW w:w="7973" w:type="dxa"/>
          </w:tcPr>
          <w:p w14:paraId="3885D529"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Uitsplitsing naar portefeuille</w:t>
            </w:r>
          </w:p>
          <w:p w14:paraId="014F6AA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Activiteiten binnen en buiten de balanstelling waaraan marktrisico verbonden is, worden uitgesplitst naar handelsportefeuille en niet-handelsportefeuille. </w:t>
            </w:r>
          </w:p>
        </w:tc>
      </w:tr>
      <w:tr w:rsidR="00F65FA6" w:rsidRPr="00037E7B" w14:paraId="5E57F79B" w14:textId="77777777" w:rsidTr="00E02007">
        <w:tc>
          <w:tcPr>
            <w:tcW w:w="1043" w:type="dxa"/>
          </w:tcPr>
          <w:p w14:paraId="7440E785"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0020-0040</w:t>
            </w:r>
          </w:p>
        </w:tc>
        <w:tc>
          <w:tcPr>
            <w:tcW w:w="7973" w:type="dxa"/>
          </w:tcPr>
          <w:p w14:paraId="78FEC356"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Handelsportefeuille</w:t>
            </w:r>
          </w:p>
          <w:p w14:paraId="6098BB5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Posities toegewezen aan de handelsportefeuille waarmee rekening wordt gehouden in de berekening van artikel 325 bis, lid 2, van Verordening (EU) nr. 575/2013.</w:t>
            </w:r>
          </w:p>
        </w:tc>
      </w:tr>
      <w:tr w:rsidR="00F65FA6" w:rsidRPr="00037E7B" w14:paraId="63198C07" w14:textId="77777777" w:rsidTr="00E02007">
        <w:tc>
          <w:tcPr>
            <w:tcW w:w="1043" w:type="dxa"/>
          </w:tcPr>
          <w:p w14:paraId="6FC2F0F0"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 – 0040</w:t>
            </w:r>
          </w:p>
        </w:tc>
        <w:tc>
          <w:tcPr>
            <w:tcW w:w="7973" w:type="dxa"/>
          </w:tcPr>
          <w:p w14:paraId="24A21C27"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waarvan: Handelsportefeuilleactiviteiten voor de toepassing van artikel 94 Verordening (EU) nr. 575/2013</w:t>
            </w:r>
          </w:p>
          <w:p w14:paraId="7A1ECC7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Artikel 94, lid 3, van Verordening (EU) nr. 575/2013.</w:t>
            </w:r>
          </w:p>
          <w:p w14:paraId="0A9722A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Overeenkomstig artikel 94, lid 3, punt b), van Verordening (EU) nr. 575/2013 rapporteren de instellingen marktwaarden van de laatste dag van de maand; wanneer geen marktwaarde beschikbaar is, de reële waarde op dezelfde datum, of wanneer op die datum geen marktwaarde en geen reële waarde beschikbaar zijn, de meest recente marktwaarde of reële waarde. </w:t>
            </w:r>
          </w:p>
        </w:tc>
      </w:tr>
      <w:tr w:rsidR="00F65FA6" w:rsidRPr="00037E7B" w14:paraId="1BA6F191" w14:textId="77777777" w:rsidTr="00E02007">
        <w:tc>
          <w:tcPr>
            <w:tcW w:w="1043" w:type="dxa"/>
          </w:tcPr>
          <w:p w14:paraId="661DD2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73" w:type="dxa"/>
          </w:tcPr>
          <w:p w14:paraId="21157FFD"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Totaal</w:t>
            </w:r>
          </w:p>
          <w:p w14:paraId="50DBCCC0"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Artikel 94, lid 3, van Verordening (EU) nr. 575/2013.</w:t>
            </w:r>
          </w:p>
          <w:p w14:paraId="1B4AB24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Het absolute bedrag van lange en korte posities wordt opgeteld overeenkomstig artikel 94, lid 3, punt c), van Verordening (EU) nr. 575/2013.</w:t>
            </w:r>
          </w:p>
        </w:tc>
      </w:tr>
      <w:tr w:rsidR="00F65FA6" w:rsidRPr="00037E7B" w14:paraId="39EFF6D7" w14:textId="77777777" w:rsidTr="00E02007">
        <w:tc>
          <w:tcPr>
            <w:tcW w:w="1043" w:type="dxa"/>
          </w:tcPr>
          <w:p w14:paraId="6E8E06FD"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0040</w:t>
            </w:r>
          </w:p>
        </w:tc>
        <w:tc>
          <w:tcPr>
            <w:tcW w:w="7973" w:type="dxa"/>
          </w:tcPr>
          <w:p w14:paraId="59AF046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in % van de totale activa</w:t>
            </w:r>
          </w:p>
          <w:p w14:paraId="2A48E439"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Artikel 94, lid 1, punt a), van Verordening (EU) nr. 575/2013</w:t>
            </w:r>
          </w:p>
          <w:p w14:paraId="49681B66"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De omvang van de handelsportefeuilleactiviteiten voor de toepassing van artikel 94 van Verordening (EU) nr. 575/2013, wordt uitgedrukt als een percentage van de totale activa.</w:t>
            </w:r>
          </w:p>
        </w:tc>
      </w:tr>
      <w:tr w:rsidR="00F65FA6" w:rsidRPr="00037E7B" w14:paraId="2C1E41CE" w14:textId="77777777" w:rsidTr="00E02007">
        <w:tc>
          <w:tcPr>
            <w:tcW w:w="1043" w:type="dxa"/>
          </w:tcPr>
          <w:p w14:paraId="45DD6754"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0050 – 0060</w:t>
            </w:r>
          </w:p>
        </w:tc>
        <w:tc>
          <w:tcPr>
            <w:tcW w:w="7973" w:type="dxa"/>
          </w:tcPr>
          <w:p w14:paraId="59D1D775"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 xml:space="preserve">Niet-handelsportefeuille </w:t>
            </w:r>
          </w:p>
          <w:p w14:paraId="62438A7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Posities toegewezen aan de handelsportefeuille waarmee rekening wordt gehouden in de berekening van artikel 325 bis, lid 2, van Verordening (EU) nr. 575/2013.</w:t>
            </w:r>
          </w:p>
          <w:p w14:paraId="5423740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Instellingen rapporteren posities in de niet-handelsportefeuille waaraan marktrisico verbonden is, uitgesplitst in posities die onderhevig zijn aan valutarisico en posities die onderhevig zijn aan grondstoffenrisico.</w:t>
            </w:r>
          </w:p>
          <w:p w14:paraId="6F2651D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De desbetreffende waarden worden bepaald in overeenstemming met artikel 325 bis, lid 2, punten d) en e), van Verordening (EU) nr. 575/2013. </w:t>
            </w:r>
          </w:p>
        </w:tc>
      </w:tr>
      <w:tr w:rsidR="00F65FA6" w:rsidRPr="00037E7B" w14:paraId="15FBA6A1" w14:textId="77777777" w:rsidTr="00E02007">
        <w:tc>
          <w:tcPr>
            <w:tcW w:w="1043" w:type="dxa"/>
          </w:tcPr>
          <w:p w14:paraId="1FCF45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0070</w:t>
            </w:r>
          </w:p>
        </w:tc>
        <w:tc>
          <w:tcPr>
            <w:tcW w:w="7973" w:type="dxa"/>
          </w:tcPr>
          <w:p w14:paraId="6D9E3BF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in % van de totale activa</w:t>
            </w:r>
          </w:p>
          <w:p w14:paraId="6A6F8AC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Artikel 325 bis, lid 1, punt a), van Verordening (EU) nr. 575/2013</w:t>
            </w:r>
          </w:p>
          <w:p w14:paraId="542B237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De activiteiten binnen en buiten de balanstelling waaraan marktrisico verbonden is, worden uitgedrukt als een percentage van de totale activa.</w:t>
            </w:r>
          </w:p>
        </w:tc>
      </w:tr>
      <w:tr w:rsidR="00F65FA6" w:rsidRPr="00037E7B" w14:paraId="74752559" w14:textId="77777777" w:rsidTr="00E02007">
        <w:tc>
          <w:tcPr>
            <w:tcW w:w="1043" w:type="dxa"/>
          </w:tcPr>
          <w:p w14:paraId="72343CA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0080</w:t>
            </w:r>
          </w:p>
        </w:tc>
        <w:tc>
          <w:tcPr>
            <w:tcW w:w="7973" w:type="dxa"/>
          </w:tcPr>
          <w:p w14:paraId="5907245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Totaal activa</w:t>
            </w:r>
          </w:p>
          <w:p w14:paraId="020AD40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Artikel 94, lid 1, punt a), en artikel 325 bis, lid 1, punt a), van Verordening (EU) nr. 575/2013.</w:t>
            </w:r>
          </w:p>
        </w:tc>
      </w:tr>
    </w:tbl>
    <w:p w14:paraId="2C563A95" w14:textId="77777777" w:rsidR="00F65FA6" w:rsidRPr="00037E7B" w:rsidRDefault="00F65FA6" w:rsidP="00F65FA6">
      <w:pPr>
        <w:rPr>
          <w:rFonts w:ascii="Times New Roman" w:hAnsi="Times New Roman"/>
          <w:sz w:val="24"/>
        </w:rPr>
      </w:pPr>
    </w:p>
    <w:p w14:paraId="3D64E99A" w14:textId="053F6133" w:rsidR="00AB3069" w:rsidRPr="00037E7B" w:rsidRDefault="003E6AEB" w:rsidP="000059B8">
      <w:pPr>
        <w:pStyle w:val="Instructionsberschrift2"/>
        <w:numPr>
          <w:ilvl w:val="0"/>
          <w:numId w:val="0"/>
        </w:numPr>
        <w:ind w:left="357" w:hanging="357"/>
      </w:pPr>
      <w:r>
        <w:rPr>
          <w:rFonts w:ascii="Times New Roman" w:hAnsi="Times New Roman"/>
          <w:sz w:val="24"/>
        </w:rPr>
        <w:t>9.2 De grens tussen handelsportefeuille en niet-handelsportefeuille (BOU)</w:t>
      </w:r>
      <w:bookmarkEnd w:id="9"/>
    </w:p>
    <w:p w14:paraId="2D9236ED" w14:textId="27F33E1C" w:rsidR="009B2CA6" w:rsidRPr="00037E7B" w:rsidRDefault="00A5627D" w:rsidP="009B2CA6">
      <w:pPr>
        <w:pStyle w:val="Instructionsberschrift2"/>
        <w:numPr>
          <w:ilvl w:val="0"/>
          <w:numId w:val="0"/>
        </w:numPr>
        <w:ind w:left="357" w:hanging="357"/>
        <w:rPr>
          <w:rFonts w:ascii="Times New Roman" w:hAnsi="Times New Roman" w:cs="Times New Roman"/>
          <w:sz w:val="24"/>
        </w:rPr>
      </w:pPr>
      <w:bookmarkStart w:id="11" w:name="_Toc151714537"/>
      <w:r>
        <w:rPr>
          <w:rFonts w:ascii="Times New Roman" w:hAnsi="Times New Roman"/>
          <w:sz w:val="24"/>
        </w:rPr>
        <w:t>9.2.1.</w:t>
      </w:r>
      <w:r>
        <w:rPr>
          <w:rFonts w:ascii="Times New Roman" w:hAnsi="Times New Roman"/>
          <w:sz w:val="24"/>
        </w:rPr>
        <w:tab/>
        <w:t>Algemene opmerkingen</w:t>
      </w:r>
      <w:bookmarkEnd w:id="11"/>
    </w:p>
    <w:p w14:paraId="5D51F5A4" w14:textId="105C86A5" w:rsidR="009B2CA6" w:rsidRPr="00037E7B" w:rsidRDefault="000B3833" w:rsidP="00660845">
      <w:pPr>
        <w:pStyle w:val="InstructionsText2"/>
        <w:numPr>
          <w:ilvl w:val="0"/>
          <w:numId w:val="0"/>
        </w:numPr>
      </w:pPr>
      <w:r>
        <w:t xml:space="preserve">209a. Deze template wordt gebruikt om informatie te verstrekken over de samenstelling van de handelsportefeuille (BOU1) in het licht van de aannames voor het opnemen van instrumenten in de handels- of de niet-handelsportefeuille zoals bepaald in artikel 104 van Verordening (EU) nr. 575/2013. </w:t>
      </w:r>
    </w:p>
    <w:p w14:paraId="6EE2D450" w14:textId="77777777" w:rsidR="00015197" w:rsidRPr="00037E7B" w:rsidRDefault="00A5627D" w:rsidP="009B2CA6">
      <w:pPr>
        <w:pStyle w:val="Instructionsberschrift2"/>
        <w:numPr>
          <w:ilvl w:val="0"/>
          <w:numId w:val="0"/>
        </w:numPr>
        <w:ind w:left="357" w:hanging="357"/>
        <w:rPr>
          <w:rFonts w:ascii="Times New Roman" w:hAnsi="Times New Roman" w:cs="Times New Roman"/>
          <w:sz w:val="24"/>
        </w:rPr>
      </w:pPr>
      <w:bookmarkStart w:id="12" w:name="_Toc151714538"/>
      <w:r>
        <w:rPr>
          <w:rFonts w:ascii="Times New Roman" w:hAnsi="Times New Roman"/>
          <w:sz w:val="24"/>
        </w:rPr>
        <w:t>9.2.2.</w:t>
      </w:r>
      <w:r>
        <w:rPr>
          <w:rFonts w:ascii="Times New Roman" w:hAnsi="Times New Roman"/>
        </w:rPr>
        <w:tab/>
      </w:r>
      <w:r>
        <w:rPr>
          <w:rFonts w:ascii="Times New Roman" w:hAnsi="Times New Roman"/>
          <w:sz w:val="24"/>
        </w:rPr>
        <w:t>C 90.05 - Grens: Handelsportefeuille (BOU1)</w:t>
      </w:r>
      <w:bookmarkEnd w:id="12"/>
    </w:p>
    <w:p w14:paraId="642D4D18" w14:textId="1B329C57" w:rsidR="00015197" w:rsidRPr="00037E7B" w:rsidRDefault="00015197" w:rsidP="009B2CA6">
      <w:pPr>
        <w:pStyle w:val="Instructionsberschrift2"/>
        <w:numPr>
          <w:ilvl w:val="0"/>
          <w:numId w:val="0"/>
        </w:numPr>
        <w:ind w:left="357" w:hanging="357"/>
        <w:rPr>
          <w:rFonts w:ascii="Times New Roman" w:hAnsi="Times New Roman" w:cs="Times New Roman"/>
          <w:sz w:val="24"/>
        </w:rPr>
      </w:pPr>
      <w:bookmarkStart w:id="13" w:name="_Toc151714539"/>
      <w:r>
        <w:rPr>
          <w:rFonts w:ascii="Times New Roman" w:hAnsi="Times New Roman"/>
          <w:sz w:val="24"/>
        </w:rPr>
        <w:t>9.2.2.1. Algemene opmerkingen</w:t>
      </w:r>
      <w:bookmarkEnd w:id="13"/>
    </w:p>
    <w:p w14:paraId="4E94C71F" w14:textId="73207B56" w:rsidR="00D87969" w:rsidRPr="00037E7B" w:rsidRDefault="000B3833" w:rsidP="00D53CED">
      <w:pPr>
        <w:pStyle w:val="InstructionsText2"/>
        <w:numPr>
          <w:ilvl w:val="0"/>
          <w:numId w:val="0"/>
        </w:numPr>
        <w:rPr>
          <w:noProof/>
        </w:rPr>
      </w:pPr>
      <w:r>
        <w:t>209b. Instellingen rapporteren alle aan de handelsportefeuille toegewezen posities als bedoeld in artikel 4, lid 1, punt 85, van Verordening (EU) nr. 575/2013 in deze template, met uitzondering van instrumenten en posities die zijn uitgesloten van de berekening van de drempel bedoeld in artikel 325 bis van Verordening (EU) nr. 575/2013.209c.In afwijking van artikel 21, lid 1, punt a), van Verordening (EU) 2021/451, rapporteren instellingen een nul in de rijen 0010 en 0020 en in de kolommen 0020 (“ Verplicht in de handelsportefeuille”), 0130 (“Instrumenten opgenomen in de handelsportefeuille met goedkeuring van de bevoegde autoriteit: Instrumenten in hedgefondsen”) en 0140 (“Andere instrumenten”), als hun handelsportefeuilles geen instrument omvatten dat overeenstemt met de beschrijving van de desbetreffende cel.</w:t>
      </w:r>
    </w:p>
    <w:p w14:paraId="032CBDD2" w14:textId="553C54FC" w:rsidR="00056154" w:rsidRPr="00037E7B" w:rsidRDefault="00056154">
      <w:pPr>
        <w:pStyle w:val="InstructionsText2"/>
        <w:numPr>
          <w:ilvl w:val="0"/>
          <w:numId w:val="0"/>
        </w:numPr>
        <w:rPr>
          <w:noProof/>
        </w:rPr>
      </w:pPr>
    </w:p>
    <w:p w14:paraId="2C4982B9" w14:textId="526F501C" w:rsidR="009B2CA6" w:rsidRPr="00037E7B" w:rsidRDefault="00015197" w:rsidP="009B2CA6">
      <w:pPr>
        <w:pStyle w:val="Instructionsberschrift2"/>
        <w:numPr>
          <w:ilvl w:val="0"/>
          <w:numId w:val="0"/>
        </w:numPr>
        <w:ind w:left="357" w:hanging="357"/>
        <w:rPr>
          <w:rFonts w:ascii="Times New Roman" w:hAnsi="Times New Roman" w:cs="Times New Roman"/>
          <w:sz w:val="24"/>
        </w:rPr>
      </w:pPr>
      <w:bookmarkStart w:id="14" w:name="_Toc151714540"/>
      <w:r>
        <w:rPr>
          <w:rFonts w:ascii="Times New Roman" w:hAnsi="Times New Roman"/>
          <w:sz w:val="24"/>
        </w:rPr>
        <w:t>9.2.2.2 Instructies voor specifieke posities</w:t>
      </w:r>
      <w:bookmarkEnd w:id="14"/>
    </w:p>
    <w:tbl>
      <w:tblPr>
        <w:tblStyle w:val="TableGrid"/>
        <w:tblW w:w="0" w:type="auto"/>
        <w:tblLook w:val="04A0" w:firstRow="1" w:lastRow="0" w:firstColumn="1" w:lastColumn="0" w:noHBand="0" w:noVBand="1"/>
      </w:tblPr>
      <w:tblGrid>
        <w:gridCol w:w="1203"/>
        <w:gridCol w:w="7813"/>
      </w:tblGrid>
      <w:tr w:rsidR="009B2CA6" w:rsidRPr="00037E7B" w14:paraId="15D9E2A5" w14:textId="77777777">
        <w:tc>
          <w:tcPr>
            <w:tcW w:w="1203" w:type="dxa"/>
            <w:shd w:val="clear" w:color="auto" w:fill="BFBFBF" w:themeFill="background1" w:themeFillShade="BF"/>
          </w:tcPr>
          <w:p w14:paraId="1B28CD80"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Kolom</w:t>
            </w:r>
          </w:p>
        </w:tc>
        <w:tc>
          <w:tcPr>
            <w:tcW w:w="7813" w:type="dxa"/>
            <w:shd w:val="clear" w:color="auto" w:fill="BFBFBF" w:themeFill="background1" w:themeFillShade="BF"/>
          </w:tcPr>
          <w:p w14:paraId="07605642"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Verwijzingen naar wetgeving en instructies</w:t>
            </w:r>
          </w:p>
        </w:tc>
      </w:tr>
      <w:tr w:rsidR="009B2CA6" w:rsidRPr="00037E7B" w14:paraId="55E2B293" w14:textId="77777777">
        <w:trPr>
          <w:trHeight w:val="70"/>
        </w:trPr>
        <w:tc>
          <w:tcPr>
            <w:tcW w:w="1203" w:type="dxa"/>
          </w:tcPr>
          <w:p w14:paraId="62D87E0D" w14:textId="7B0469E1" w:rsidR="009B2CA6" w:rsidRPr="00037E7B" w:rsidRDefault="009B2CA6">
            <w:pPr>
              <w:pStyle w:val="BodyText"/>
              <w:spacing w:before="120" w:after="120"/>
              <w:rPr>
                <w:rFonts w:ascii="Times New Roman" w:hAnsi="Times New Roman" w:cs="Times New Roman"/>
              </w:rPr>
            </w:pPr>
            <w:r>
              <w:rPr>
                <w:rFonts w:ascii="Times New Roman" w:hAnsi="Times New Roman"/>
              </w:rPr>
              <w:t>0010 - 0150</w:t>
            </w:r>
          </w:p>
        </w:tc>
        <w:tc>
          <w:tcPr>
            <w:tcW w:w="7813" w:type="dxa"/>
            <w:vAlign w:val="bottom"/>
          </w:tcPr>
          <w:p w14:paraId="266895B6" w14:textId="221A0953"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Handelsportefeuille: Geaggregeerde posities: Waarde van het effect van artikel 325 bis van Verordening (EU) nr. 575/2013 (netto (+) positieve / (-) negatieve marktwaarde)</w:t>
            </w:r>
          </w:p>
          <w:p w14:paraId="00ABD96B" w14:textId="77777777" w:rsidR="009B2CA6" w:rsidRPr="00037E7B" w:rsidRDefault="009B2CA6" w:rsidP="00056154">
            <w:pPr>
              <w:pStyle w:val="BodyText"/>
              <w:spacing w:before="120" w:after="120"/>
              <w:rPr>
                <w:rFonts w:ascii="Times New Roman" w:hAnsi="Times New Roman" w:cs="Times New Roman"/>
              </w:rPr>
            </w:pPr>
            <w:r>
              <w:rPr>
                <w:rFonts w:ascii="Times New Roman" w:hAnsi="Times New Roman"/>
              </w:rPr>
              <w:t>Artikel 4, lid 1, punt 86), artikel 104 en artikel 325 bis, lid 2, punt a), van Verordening (EU) nr. 575/2013.</w:t>
            </w:r>
          </w:p>
          <w:p w14:paraId="467A1E21" w14:textId="008DABF1" w:rsidR="0061609C" w:rsidRPr="00037E7B" w:rsidRDefault="0061609C" w:rsidP="00056154">
            <w:pPr>
              <w:pStyle w:val="BodyText"/>
              <w:spacing w:before="120" w:after="120"/>
              <w:rPr>
                <w:rFonts w:ascii="Times New Roman" w:hAnsi="Times New Roman" w:cs="Times New Roman"/>
              </w:rPr>
            </w:pPr>
            <w:r>
              <w:t>Instellingen rapporteren informatie over geaggregeerde longposities en over geaggregeerde shortposities afzonderlijk. Zij bepalen de waarde van de geaggregeerde long- of shortpositie overeenkomstig artikel 325 bis, lid 2, van Verordening (EU) nr. 575/2013, met de volgende uitzondering: als de waarde van de geaggregeerde long- of shortpositie overeenkomt met een netto positieve marktwaarde, wordt in deze template een positieve waarde gerapporteerd; als de waarde van de geaggregeerde long- of shortpositie overeenkomt met een netto negatieve marktwaarde, wordt in deze template een negatieve waarde gerapporteerd.</w:t>
            </w:r>
          </w:p>
        </w:tc>
      </w:tr>
      <w:tr w:rsidR="009B2CA6" w:rsidRPr="00037E7B" w14:paraId="508C4AB7" w14:textId="77777777">
        <w:tc>
          <w:tcPr>
            <w:tcW w:w="1203" w:type="dxa"/>
          </w:tcPr>
          <w:p w14:paraId="502BC619" w14:textId="735ED871" w:rsidR="009B2CA6" w:rsidRPr="00037E7B" w:rsidRDefault="009B2CA6">
            <w:pPr>
              <w:pStyle w:val="BodyText"/>
              <w:spacing w:before="120" w:after="120"/>
              <w:rPr>
                <w:rFonts w:ascii="Times New Roman" w:hAnsi="Times New Roman" w:cs="Times New Roman"/>
              </w:rPr>
            </w:pPr>
            <w:r>
              <w:rPr>
                <w:rFonts w:ascii="Times New Roman" w:hAnsi="Times New Roman"/>
              </w:rPr>
              <w:t>0010</w:t>
            </w:r>
          </w:p>
        </w:tc>
        <w:tc>
          <w:tcPr>
            <w:tcW w:w="7813" w:type="dxa"/>
            <w:vAlign w:val="bottom"/>
          </w:tcPr>
          <w:p w14:paraId="3A5B9DDA" w14:textId="7548675F"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Geaggregeerde posities – waarvan: in vreemde valuta</w:t>
            </w:r>
          </w:p>
          <w:p w14:paraId="67C375D5" w14:textId="58B41269"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Instrumenten worden in deze kolom gerapporteerd als zij in een andere valuta luiden dan de rapportagevaluta, als zij een onderliggende hebben in een dergelijke valuta of een valutapositie als onderliggende hebben.</w:t>
            </w:r>
          </w:p>
        </w:tc>
      </w:tr>
      <w:tr w:rsidR="009B2CA6" w:rsidRPr="00037E7B" w14:paraId="03CCA48F" w14:textId="77777777">
        <w:tc>
          <w:tcPr>
            <w:tcW w:w="1203" w:type="dxa"/>
          </w:tcPr>
          <w:p w14:paraId="311B1C42" w14:textId="2702B590" w:rsidR="009B2CA6" w:rsidRPr="00037E7B" w:rsidRDefault="009B2CA6">
            <w:pPr>
              <w:pStyle w:val="BodyText"/>
              <w:spacing w:before="120" w:after="120"/>
              <w:rPr>
                <w:rFonts w:ascii="Times New Roman" w:hAnsi="Times New Roman" w:cs="Times New Roman"/>
              </w:rPr>
            </w:pPr>
            <w:r>
              <w:rPr>
                <w:rFonts w:ascii="Times New Roman" w:hAnsi="Times New Roman"/>
              </w:rPr>
              <w:t>0020 – 0120</w:t>
            </w:r>
          </w:p>
        </w:tc>
        <w:tc>
          <w:tcPr>
            <w:tcW w:w="7813" w:type="dxa"/>
            <w:vAlign w:val="bottom"/>
          </w:tcPr>
          <w:p w14:paraId="7817D847" w14:textId="2DFC160D"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Geaggregeerde posities: verplicht in de handelsportefeuille</w:t>
            </w:r>
          </w:p>
          <w:p w14:paraId="45D126DC" w14:textId="42024198"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Indien een instrument voldoet aan meer dan één voorwaarde om te worden opgenomen in de handelsportefeuille, rapporteren instellingen dat in één van de kolommen 0030 tot en met 0120 en wel de kolom die zij het meest geschikt achten. Instrumenten geclassificeerd als aangehouden voor handelsdoeleinden in het kader voor financiële verslaggeving, worden uitsluitend gerapporteerd in kolom 0120, als zij niet aan een van de andere kolommen 0030 tot en met 0110 kunnen worden toegewezen.</w:t>
            </w:r>
          </w:p>
        </w:tc>
      </w:tr>
      <w:tr w:rsidR="009B2CA6" w:rsidRPr="00037E7B" w14:paraId="6AC9BF62" w14:textId="77777777">
        <w:tc>
          <w:tcPr>
            <w:tcW w:w="1203" w:type="dxa"/>
          </w:tcPr>
          <w:p w14:paraId="5CD1C53C" w14:textId="3AE6C82A" w:rsidR="009B2CA6" w:rsidRPr="00037E7B" w:rsidRDefault="009B2CA6">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76886C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Verplicht in de handelsportefeuille</w:t>
            </w:r>
          </w:p>
        </w:tc>
      </w:tr>
      <w:tr w:rsidR="009B2CA6" w:rsidRPr="00037E7B" w14:paraId="1DB81A60" w14:textId="77777777">
        <w:tc>
          <w:tcPr>
            <w:tcW w:w="1203" w:type="dxa"/>
          </w:tcPr>
          <w:p w14:paraId="58C00983" w14:textId="4299CC1F" w:rsidR="009B2CA6" w:rsidRPr="00037E7B" w:rsidRDefault="009B2CA6">
            <w:pPr>
              <w:pStyle w:val="BodyText"/>
              <w:spacing w:before="120" w:after="120"/>
              <w:rPr>
                <w:rFonts w:ascii="Times New Roman" w:hAnsi="Times New Roman" w:cs="Times New Roman"/>
              </w:rPr>
            </w:pPr>
            <w:r>
              <w:rPr>
                <w:rFonts w:ascii="Times New Roman" w:hAnsi="Times New Roman"/>
              </w:rPr>
              <w:t>0030</w:t>
            </w:r>
          </w:p>
        </w:tc>
        <w:tc>
          <w:tcPr>
            <w:tcW w:w="7813" w:type="dxa"/>
          </w:tcPr>
          <w:p w14:paraId="5A39CA9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Instrumenten in de ACHP</w:t>
            </w:r>
          </w:p>
          <w:p w14:paraId="761EFC0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 lid 2, eerste alinea, punt a), van Verordening (EU) 575/2013</w:t>
            </w:r>
          </w:p>
        </w:tc>
      </w:tr>
      <w:tr w:rsidR="009B2CA6" w:rsidRPr="00037E7B" w14:paraId="6F489832" w14:textId="77777777">
        <w:tc>
          <w:tcPr>
            <w:tcW w:w="1203" w:type="dxa"/>
          </w:tcPr>
          <w:p w14:paraId="3AD88966" w14:textId="2138AB70" w:rsidR="009B2CA6" w:rsidRPr="00037E7B" w:rsidRDefault="009B2CA6">
            <w:pPr>
              <w:pStyle w:val="BodyText"/>
              <w:spacing w:before="120" w:after="120"/>
              <w:rPr>
                <w:rFonts w:ascii="Times New Roman" w:hAnsi="Times New Roman" w:cs="Times New Roman"/>
              </w:rPr>
            </w:pPr>
            <w:r>
              <w:rPr>
                <w:rFonts w:ascii="Times New Roman" w:hAnsi="Times New Roman"/>
              </w:rPr>
              <w:t>0040</w:t>
            </w:r>
          </w:p>
        </w:tc>
        <w:tc>
          <w:tcPr>
            <w:tcW w:w="7813" w:type="dxa"/>
          </w:tcPr>
          <w:p w14:paraId="201BF48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Instrumenten die zouden leiden tot een netto short credit-positie of netto short aandelenpositie in de niet-handelsportefeuille</w:t>
            </w:r>
          </w:p>
          <w:p w14:paraId="6B81D80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 lid 2, eerste alinea, punt b), van Verordening (EU) 575/2013</w:t>
            </w:r>
          </w:p>
        </w:tc>
      </w:tr>
      <w:tr w:rsidR="009B2CA6" w:rsidRPr="00037E7B" w14:paraId="2681A203" w14:textId="77777777">
        <w:tc>
          <w:tcPr>
            <w:tcW w:w="1203" w:type="dxa"/>
          </w:tcPr>
          <w:p w14:paraId="4F039D7D" w14:textId="1615A9ED" w:rsidR="009B2CA6" w:rsidRPr="00037E7B" w:rsidRDefault="009B2CA6">
            <w:pPr>
              <w:pStyle w:val="BodyText"/>
              <w:spacing w:before="120" w:after="120"/>
              <w:rPr>
                <w:rFonts w:ascii="Times New Roman" w:hAnsi="Times New Roman" w:cs="Times New Roman"/>
              </w:rPr>
            </w:pPr>
            <w:r>
              <w:rPr>
                <w:rFonts w:ascii="Times New Roman" w:hAnsi="Times New Roman"/>
              </w:rPr>
              <w:t>0050</w:t>
            </w:r>
          </w:p>
        </w:tc>
        <w:tc>
          <w:tcPr>
            <w:tcW w:w="7813" w:type="dxa"/>
          </w:tcPr>
          <w:p w14:paraId="58BDB0D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Instrumenten die voortvloeien uit verbintenissen voor het overnemen van effecten</w:t>
            </w:r>
          </w:p>
          <w:p w14:paraId="0035AED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 lid 2, eerste alinea, punt c), van Verordening (EU) 575/2013</w:t>
            </w:r>
          </w:p>
        </w:tc>
      </w:tr>
      <w:tr w:rsidR="009B2CA6" w:rsidRPr="00037E7B" w14:paraId="0F150DD0" w14:textId="77777777">
        <w:tc>
          <w:tcPr>
            <w:tcW w:w="1203" w:type="dxa"/>
          </w:tcPr>
          <w:p w14:paraId="56310523" w14:textId="5824B274" w:rsidR="009B2CA6" w:rsidRPr="00037E7B" w:rsidRDefault="009B2CA6">
            <w:pPr>
              <w:pStyle w:val="BodyText"/>
              <w:spacing w:before="120" w:after="120"/>
              <w:rPr>
                <w:rFonts w:ascii="Times New Roman" w:hAnsi="Times New Roman" w:cs="Times New Roman"/>
              </w:rPr>
            </w:pPr>
            <w:r>
              <w:rPr>
                <w:rFonts w:ascii="Times New Roman" w:hAnsi="Times New Roman"/>
              </w:rPr>
              <w:t>0060</w:t>
            </w:r>
          </w:p>
        </w:tc>
        <w:tc>
          <w:tcPr>
            <w:tcW w:w="7813" w:type="dxa"/>
          </w:tcPr>
          <w:p w14:paraId="319EF2D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Instrumenten die voortvloeien uit market-makingactiviteiten</w:t>
            </w:r>
          </w:p>
          <w:p w14:paraId="39D72E3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 lid 2, eerste alinea, punt e), van Verordening (EU) 575/2013</w:t>
            </w:r>
          </w:p>
        </w:tc>
      </w:tr>
      <w:tr w:rsidR="009B2CA6" w:rsidRPr="00037E7B" w14:paraId="3EEE4A44" w14:textId="77777777">
        <w:tc>
          <w:tcPr>
            <w:tcW w:w="1203" w:type="dxa"/>
          </w:tcPr>
          <w:p w14:paraId="35BF9484" w14:textId="12DEDF50" w:rsidR="009B2CA6" w:rsidRPr="00037E7B" w:rsidRDefault="009B2CA6">
            <w:pPr>
              <w:pStyle w:val="BodyText"/>
              <w:spacing w:before="120" w:after="120"/>
              <w:rPr>
                <w:rFonts w:ascii="Times New Roman" w:hAnsi="Times New Roman" w:cs="Times New Roman"/>
              </w:rPr>
            </w:pPr>
            <w:r>
              <w:rPr>
                <w:rFonts w:ascii="Times New Roman" w:hAnsi="Times New Roman"/>
              </w:rPr>
              <w:t>0070</w:t>
            </w:r>
          </w:p>
        </w:tc>
        <w:tc>
          <w:tcPr>
            <w:tcW w:w="7813" w:type="dxa"/>
          </w:tcPr>
          <w:p w14:paraId="11B16F63"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Icb's</w:t>
            </w:r>
          </w:p>
          <w:p w14:paraId="5F0ADDDD"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 lid 2, eerste alinea, punt f), van Verordening (EU) 575/2013</w:t>
            </w:r>
          </w:p>
        </w:tc>
      </w:tr>
      <w:tr w:rsidR="009B2CA6" w:rsidRPr="00037E7B" w14:paraId="39B1FCD7" w14:textId="77777777">
        <w:tc>
          <w:tcPr>
            <w:tcW w:w="1203" w:type="dxa"/>
          </w:tcPr>
          <w:p w14:paraId="56A3EA85" w14:textId="5D6B9DAD" w:rsidR="009B2CA6" w:rsidRPr="00037E7B" w:rsidRDefault="009B2CA6">
            <w:pPr>
              <w:pStyle w:val="BodyText"/>
              <w:spacing w:before="120" w:after="120"/>
              <w:rPr>
                <w:rFonts w:ascii="Times New Roman" w:hAnsi="Times New Roman" w:cs="Times New Roman"/>
              </w:rPr>
            </w:pPr>
            <w:r>
              <w:rPr>
                <w:rFonts w:ascii="Times New Roman" w:hAnsi="Times New Roman"/>
              </w:rPr>
              <w:t>0080</w:t>
            </w:r>
          </w:p>
        </w:tc>
        <w:tc>
          <w:tcPr>
            <w:tcW w:w="7813" w:type="dxa"/>
          </w:tcPr>
          <w:p w14:paraId="6968C5A8"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Beursgenoteerde aandelen</w:t>
            </w:r>
          </w:p>
          <w:p w14:paraId="7373B9F6"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Artikel 104, lid 2, eerste alinea, punt g), van Verordening (EU) 575/2013</w:t>
            </w:r>
          </w:p>
        </w:tc>
      </w:tr>
      <w:tr w:rsidR="009B2CA6" w:rsidRPr="00037E7B" w14:paraId="2C868D17" w14:textId="77777777">
        <w:tc>
          <w:tcPr>
            <w:tcW w:w="1203" w:type="dxa"/>
          </w:tcPr>
          <w:p w14:paraId="7C3DA249" w14:textId="2DCB2DC7" w:rsidR="009B2CA6" w:rsidRPr="00037E7B" w:rsidRDefault="009B2CA6">
            <w:pPr>
              <w:pStyle w:val="BodyText"/>
              <w:spacing w:before="120" w:after="120"/>
              <w:rPr>
                <w:rFonts w:ascii="Times New Roman" w:hAnsi="Times New Roman" w:cs="Times New Roman"/>
              </w:rPr>
            </w:pPr>
            <w:r>
              <w:rPr>
                <w:rFonts w:ascii="Times New Roman" w:hAnsi="Times New Roman"/>
              </w:rPr>
              <w:t>0090</w:t>
            </w:r>
          </w:p>
        </w:tc>
        <w:tc>
          <w:tcPr>
            <w:tcW w:w="7813" w:type="dxa"/>
          </w:tcPr>
          <w:p w14:paraId="6387D71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EFT’s voor handelsdoeleinden</w:t>
            </w:r>
          </w:p>
          <w:p w14:paraId="6D53378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 lid 2, eerste alinea, punt h), van Verordening (EU) 575/2013</w:t>
            </w:r>
          </w:p>
        </w:tc>
      </w:tr>
      <w:tr w:rsidR="009B2CA6" w:rsidRPr="00037E7B" w14:paraId="51E19E34" w14:textId="77777777">
        <w:tc>
          <w:tcPr>
            <w:tcW w:w="1203" w:type="dxa"/>
          </w:tcPr>
          <w:p w14:paraId="40DF6AD2" w14:textId="66A7EFB3" w:rsidR="009B2CA6" w:rsidRPr="00037E7B" w:rsidRDefault="009B2CA6">
            <w:pPr>
              <w:pStyle w:val="BodyText"/>
              <w:spacing w:before="120" w:after="120"/>
              <w:rPr>
                <w:rFonts w:ascii="Times New Roman" w:hAnsi="Times New Roman" w:cs="Times New Roman"/>
              </w:rPr>
            </w:pPr>
            <w:r>
              <w:rPr>
                <w:rFonts w:ascii="Times New Roman" w:hAnsi="Times New Roman"/>
              </w:rPr>
              <w:t>0100</w:t>
            </w:r>
          </w:p>
        </w:tc>
        <w:tc>
          <w:tcPr>
            <w:tcW w:w="7813" w:type="dxa"/>
          </w:tcPr>
          <w:p w14:paraId="5611CE5C"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Opties of andere derivaten ingebouwd in de eigen verplichtingen van de instelling (gesplitst)</w:t>
            </w:r>
          </w:p>
          <w:p w14:paraId="0426719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 lid 2, eerste alinea, punt i), en derde alinea, van Verordening (EU) 575/2013</w:t>
            </w:r>
          </w:p>
        </w:tc>
      </w:tr>
      <w:tr w:rsidR="009B2CA6" w:rsidRPr="00037E7B" w14:paraId="0BD2C394" w14:textId="77777777">
        <w:tc>
          <w:tcPr>
            <w:tcW w:w="1203" w:type="dxa"/>
          </w:tcPr>
          <w:p w14:paraId="577F08A1" w14:textId="53A3A002" w:rsidR="009B2CA6" w:rsidRPr="00037E7B" w:rsidRDefault="009B2CA6">
            <w:pPr>
              <w:pStyle w:val="BodyText"/>
              <w:spacing w:before="120" w:after="120"/>
              <w:rPr>
                <w:rFonts w:ascii="Times New Roman" w:hAnsi="Times New Roman" w:cs="Times New Roman"/>
              </w:rPr>
            </w:pPr>
            <w:r>
              <w:rPr>
                <w:rFonts w:ascii="Times New Roman" w:hAnsi="Times New Roman"/>
              </w:rPr>
              <w:t>0110</w:t>
            </w:r>
          </w:p>
        </w:tc>
        <w:tc>
          <w:tcPr>
            <w:tcW w:w="7813" w:type="dxa"/>
          </w:tcPr>
          <w:p w14:paraId="3F7AFD3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Eigen verplichtingen van de instelling met ingebouwde opties, of andere derivaten (niet-gesplitst)</w:t>
            </w:r>
          </w:p>
          <w:p w14:paraId="6C5173C2"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 lid 2, eerste alinea, punt i), en vierde alinea, van Verordening (EU) 575/2013</w:t>
            </w:r>
          </w:p>
        </w:tc>
      </w:tr>
      <w:tr w:rsidR="009B2CA6" w:rsidRPr="00037E7B" w14:paraId="5BD829B0" w14:textId="77777777">
        <w:tc>
          <w:tcPr>
            <w:tcW w:w="1203" w:type="dxa"/>
          </w:tcPr>
          <w:p w14:paraId="2FA5C009" w14:textId="473E61D7" w:rsidR="009B2CA6" w:rsidRPr="00037E7B" w:rsidRDefault="009B2CA6">
            <w:pPr>
              <w:pStyle w:val="BodyText"/>
              <w:spacing w:before="120" w:after="120"/>
              <w:rPr>
                <w:rFonts w:ascii="Times New Roman" w:hAnsi="Times New Roman" w:cs="Times New Roman"/>
              </w:rPr>
            </w:pPr>
            <w:r>
              <w:rPr>
                <w:rFonts w:ascii="Times New Roman" w:hAnsi="Times New Roman"/>
              </w:rPr>
              <w:t>0120</w:t>
            </w:r>
          </w:p>
        </w:tc>
        <w:tc>
          <w:tcPr>
            <w:tcW w:w="7813" w:type="dxa"/>
          </w:tcPr>
          <w:p w14:paraId="04C4E6C0"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Instrumenten in het raamwerk voor financiële verslaggeving ingedeeld als “aangehouden voor handelsdoeleinden” (niet opgenomen in de vorige kolommen)</w:t>
            </w:r>
          </w:p>
          <w:p w14:paraId="10D50030" w14:textId="47C96D60" w:rsidR="009B2CA6" w:rsidRPr="00037E7B" w:rsidRDefault="009B2CA6">
            <w:pPr>
              <w:pStyle w:val="BodyText"/>
              <w:spacing w:before="120" w:after="120"/>
              <w:rPr>
                <w:rFonts w:ascii="Times New Roman" w:hAnsi="Times New Roman" w:cs="Times New Roman"/>
              </w:rPr>
            </w:pPr>
            <w:r>
              <w:rPr>
                <w:rFonts w:ascii="Times New Roman" w:hAnsi="Times New Roman"/>
              </w:rPr>
              <w:t>Artikel 104, lid 2, eerste alinea, punt d), van Verordening (EU) 575/2013</w:t>
            </w:r>
          </w:p>
          <w:p w14:paraId="5674D9E6" w14:textId="3DAB8DFF"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Instrumenten geclassificeerd als aangehouden voor handelsdoeleinden in het kader voor financiële verslaggeving, worden uitsluitend gerapporteerd in deze kolom, als zij niet al in een van de andere kolommen 0030 tot en met 0110 zijn gerapporteerd.</w:t>
            </w:r>
          </w:p>
        </w:tc>
      </w:tr>
      <w:tr w:rsidR="009B2CA6" w:rsidRPr="00037E7B" w14:paraId="2E034E64" w14:textId="77777777">
        <w:tc>
          <w:tcPr>
            <w:tcW w:w="1203" w:type="dxa"/>
          </w:tcPr>
          <w:p w14:paraId="0EC43CAD" w14:textId="3F3C4B46"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0130 </w:t>
            </w:r>
          </w:p>
        </w:tc>
        <w:tc>
          <w:tcPr>
            <w:tcW w:w="7813" w:type="dxa"/>
          </w:tcPr>
          <w:p w14:paraId="1958765E" w14:textId="79733BFC"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Geaggregeerde posities – Instrumenten opgenomen in de handelsportefeuille met toestemming van de bevoegde autoriteit: Instrumenten in hedgefondsen</w:t>
            </w:r>
          </w:p>
          <w:p w14:paraId="71C1AC7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 lid 4 bis, van Verordening (EU) nr. 575/2013</w:t>
            </w:r>
          </w:p>
        </w:tc>
      </w:tr>
      <w:tr w:rsidR="009B2CA6" w:rsidRPr="00037E7B" w14:paraId="58C0F140" w14:textId="77777777">
        <w:tc>
          <w:tcPr>
            <w:tcW w:w="1203" w:type="dxa"/>
          </w:tcPr>
          <w:p w14:paraId="4FE32C77" w14:textId="078AEE3E" w:rsidR="009B2CA6" w:rsidRPr="00037E7B" w:rsidRDefault="009B2CA6">
            <w:pPr>
              <w:pStyle w:val="BodyText"/>
              <w:spacing w:before="120" w:after="120"/>
              <w:rPr>
                <w:rFonts w:ascii="Times New Roman" w:hAnsi="Times New Roman" w:cs="Times New Roman"/>
              </w:rPr>
            </w:pPr>
            <w:r>
              <w:rPr>
                <w:rFonts w:ascii="Times New Roman" w:hAnsi="Times New Roman"/>
              </w:rPr>
              <w:t>0140 - 0150</w:t>
            </w:r>
          </w:p>
        </w:tc>
        <w:tc>
          <w:tcPr>
            <w:tcW w:w="7813" w:type="dxa"/>
          </w:tcPr>
          <w:p w14:paraId="592DBEC6" w14:textId="54D13645"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Geaggregeerde posities – Andere instrumenten</w:t>
            </w:r>
          </w:p>
          <w:p w14:paraId="4AFCA133" w14:textId="3CC0563A"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Instrumenten worden in deze kolom gerapporteerd als zij zijn toegewezen aan de handelsportefeuille overeenkomstig artikel 4, lid 1, punt (85), van Verordening (EU) nr. 575/2013, en niet in een van de kolommen 0020 tot en met 0130 werden gerapporteerd.</w:t>
            </w:r>
          </w:p>
        </w:tc>
      </w:tr>
      <w:tr w:rsidR="009B2CA6" w:rsidRPr="00037E7B" w14:paraId="2F8F4937" w14:textId="77777777">
        <w:tc>
          <w:tcPr>
            <w:tcW w:w="1203" w:type="dxa"/>
          </w:tcPr>
          <w:p w14:paraId="7CF40847" w14:textId="77E27C63" w:rsidR="009B2CA6" w:rsidRPr="00037E7B" w:rsidRDefault="009B2CA6">
            <w:pPr>
              <w:pStyle w:val="BodyText"/>
              <w:spacing w:before="120" w:after="120"/>
              <w:rPr>
                <w:rFonts w:ascii="Times New Roman" w:hAnsi="Times New Roman" w:cs="Times New Roman"/>
              </w:rPr>
            </w:pPr>
            <w:r>
              <w:rPr>
                <w:rFonts w:ascii="Times New Roman" w:hAnsi="Times New Roman"/>
              </w:rPr>
              <w:t>0140</w:t>
            </w:r>
          </w:p>
        </w:tc>
        <w:tc>
          <w:tcPr>
            <w:tcW w:w="7813" w:type="dxa"/>
          </w:tcPr>
          <w:p w14:paraId="38EE78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Andere instrumenten</w:t>
            </w:r>
          </w:p>
        </w:tc>
      </w:tr>
      <w:tr w:rsidR="009B2CA6" w:rsidRPr="00037E7B" w14:paraId="64544C3C" w14:textId="77777777">
        <w:tc>
          <w:tcPr>
            <w:tcW w:w="1203" w:type="dxa"/>
          </w:tcPr>
          <w:p w14:paraId="26F8855E" w14:textId="46CAE730" w:rsidR="009B2CA6" w:rsidRPr="00037E7B" w:rsidRDefault="009B2CA6">
            <w:pPr>
              <w:pStyle w:val="BodyText"/>
              <w:spacing w:before="120" w:after="120"/>
              <w:rPr>
                <w:rFonts w:ascii="Times New Roman" w:hAnsi="Times New Roman" w:cs="Times New Roman"/>
              </w:rPr>
            </w:pPr>
            <w:r>
              <w:rPr>
                <w:rFonts w:ascii="Times New Roman" w:hAnsi="Times New Roman"/>
              </w:rPr>
              <w:t>0150</w:t>
            </w:r>
          </w:p>
        </w:tc>
        <w:tc>
          <w:tcPr>
            <w:tcW w:w="7813" w:type="dxa"/>
          </w:tcPr>
          <w:p w14:paraId="27213E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Andere instrumenten – waarvan: Instrumenten in handelsportefeuille wegens het ontbreken van bewijs voor toewijzing aan de niet-handelsportefeuille</w:t>
            </w:r>
          </w:p>
          <w:p w14:paraId="41653F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Artikel 104, lid 6, tweede alinea, van Verordening (EU) nr. 575/2013.</w:t>
            </w:r>
          </w:p>
        </w:tc>
      </w:tr>
    </w:tbl>
    <w:p w14:paraId="10FD81A7" w14:textId="77777777" w:rsidR="009B2CA6" w:rsidRPr="00037E7B" w:rsidRDefault="009B2CA6" w:rsidP="009B2CA6">
      <w:pPr>
        <w:pStyle w:val="body"/>
        <w:spacing w:before="0" w:after="0"/>
        <w:rPr>
          <w:rFonts w:ascii="Times New Roman" w:hAnsi="Times New Roman" w:cs="Times New Roman"/>
          <w:lang w:val="en-GB"/>
        </w:rPr>
      </w:pPr>
    </w:p>
    <w:tbl>
      <w:tblPr>
        <w:tblStyle w:val="TableGrid"/>
        <w:tblW w:w="0" w:type="auto"/>
        <w:tblLook w:val="04A0" w:firstRow="1" w:lastRow="0" w:firstColumn="1" w:lastColumn="0" w:noHBand="0" w:noVBand="1"/>
      </w:tblPr>
      <w:tblGrid>
        <w:gridCol w:w="1203"/>
        <w:gridCol w:w="7813"/>
      </w:tblGrid>
      <w:tr w:rsidR="009B2CA6" w:rsidRPr="00037E7B" w14:paraId="098F6BB4" w14:textId="77777777">
        <w:tc>
          <w:tcPr>
            <w:tcW w:w="1203" w:type="dxa"/>
            <w:shd w:val="clear" w:color="auto" w:fill="BFBFBF" w:themeFill="background1" w:themeFillShade="BF"/>
          </w:tcPr>
          <w:p w14:paraId="68638DB3"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Rij</w:t>
            </w:r>
          </w:p>
        </w:tc>
        <w:tc>
          <w:tcPr>
            <w:tcW w:w="7813" w:type="dxa"/>
            <w:shd w:val="clear" w:color="auto" w:fill="BFBFBF" w:themeFill="background1" w:themeFillShade="BF"/>
          </w:tcPr>
          <w:p w14:paraId="4E400868"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Verwijzingen naar wetgeving en instructies</w:t>
            </w:r>
          </w:p>
        </w:tc>
      </w:tr>
      <w:tr w:rsidR="009C1D1D" w:rsidRPr="00037E7B" w14:paraId="7134C634" w14:textId="77777777">
        <w:trPr>
          <w:trHeight w:val="70"/>
        </w:trPr>
        <w:tc>
          <w:tcPr>
            <w:tcW w:w="1203" w:type="dxa"/>
          </w:tcPr>
          <w:p w14:paraId="0369C832" w14:textId="5442AEC0" w:rsidR="009C1D1D" w:rsidRPr="00037E7B" w:rsidRDefault="00A17954">
            <w:pPr>
              <w:pStyle w:val="BodyText"/>
              <w:spacing w:before="120" w:after="120"/>
              <w:rPr>
                <w:rFonts w:ascii="Times New Roman" w:hAnsi="Times New Roman" w:cs="Times New Roman"/>
              </w:rPr>
            </w:pPr>
            <w:r>
              <w:rPr>
                <w:rFonts w:ascii="Times New Roman" w:hAnsi="Times New Roman"/>
              </w:rPr>
              <w:t>0010-0020</w:t>
            </w:r>
          </w:p>
        </w:tc>
        <w:tc>
          <w:tcPr>
            <w:tcW w:w="7813" w:type="dxa"/>
            <w:vAlign w:val="bottom"/>
          </w:tcPr>
          <w:p w14:paraId="0C31E542" w14:textId="7FD81BBC" w:rsidR="009C1D1D" w:rsidRPr="00037E7B" w:rsidRDefault="00A17954">
            <w:pPr>
              <w:pStyle w:val="BodyText"/>
              <w:spacing w:before="120" w:after="120"/>
              <w:rPr>
                <w:rFonts w:ascii="Times New Roman" w:hAnsi="Times New Roman" w:cs="Times New Roman"/>
                <w:b/>
                <w:u w:val="single"/>
              </w:rPr>
            </w:pPr>
            <w:r>
              <w:rPr>
                <w:rFonts w:ascii="Times New Roman" w:hAnsi="Times New Roman"/>
                <w:b/>
                <w:u w:val="single"/>
              </w:rPr>
              <w:t>Alle instrumenten in de handelsportefeuille waarmee rekening wordt gehouden voor de drempelwaarde van artikel 325 bis van Verordening (EU) nr. 575/2013</w:t>
            </w:r>
          </w:p>
        </w:tc>
      </w:tr>
      <w:tr w:rsidR="009B2CA6" w:rsidRPr="00037E7B" w14:paraId="225F200D" w14:textId="77777777" w:rsidTr="00723BA8">
        <w:trPr>
          <w:trHeight w:val="70"/>
        </w:trPr>
        <w:tc>
          <w:tcPr>
            <w:tcW w:w="1203" w:type="dxa"/>
          </w:tcPr>
          <w:p w14:paraId="5E239DC6" w14:textId="25A2560E" w:rsidR="009B2CA6" w:rsidRPr="00037E7B" w:rsidRDefault="00A17954">
            <w:pPr>
              <w:pStyle w:val="BodyText"/>
              <w:spacing w:before="120" w:after="120"/>
              <w:rPr>
                <w:rFonts w:ascii="Times New Roman" w:hAnsi="Times New Roman" w:cs="Times New Roman"/>
              </w:rPr>
            </w:pPr>
            <w:r>
              <w:rPr>
                <w:rFonts w:ascii="Times New Roman" w:hAnsi="Times New Roman"/>
              </w:rPr>
              <w:t>0030-0040</w:t>
            </w:r>
          </w:p>
        </w:tc>
        <w:tc>
          <w:tcPr>
            <w:tcW w:w="7813" w:type="dxa"/>
          </w:tcPr>
          <w:p w14:paraId="63B321D7" w14:textId="77777777" w:rsidR="00A17954"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Instrumenten waarvan de belangrijkste risicofactor het algemene renterisico of het creditspreadrisico is</w:t>
            </w:r>
          </w:p>
          <w:p w14:paraId="1768966A" w14:textId="77777777" w:rsidR="009B2CA6" w:rsidRPr="00037E7B" w:rsidRDefault="009B2CA6" w:rsidP="00627775">
            <w:pPr>
              <w:pStyle w:val="BodyText"/>
              <w:spacing w:before="120" w:after="120"/>
              <w:rPr>
                <w:rFonts w:ascii="Times New Roman" w:hAnsi="Times New Roman" w:cs="Times New Roman"/>
                <w:b/>
                <w:u w:val="single"/>
                <w:lang w:val="en-GB"/>
              </w:rPr>
            </w:pPr>
          </w:p>
        </w:tc>
      </w:tr>
      <w:tr w:rsidR="009B2CA6" w:rsidRPr="00037E7B" w14:paraId="2557F02B" w14:textId="77777777" w:rsidTr="00723BA8">
        <w:trPr>
          <w:trHeight w:val="70"/>
        </w:trPr>
        <w:tc>
          <w:tcPr>
            <w:tcW w:w="1203" w:type="dxa"/>
          </w:tcPr>
          <w:p w14:paraId="365D4766" w14:textId="5FCC0FF4" w:rsidR="009B2CA6" w:rsidRPr="00037E7B" w:rsidRDefault="00A17954">
            <w:pPr>
              <w:pStyle w:val="BodyText"/>
              <w:spacing w:before="120" w:after="120"/>
              <w:rPr>
                <w:rFonts w:ascii="Times New Roman" w:hAnsi="Times New Roman" w:cs="Times New Roman"/>
              </w:rPr>
            </w:pPr>
            <w:r>
              <w:rPr>
                <w:rFonts w:ascii="Times New Roman" w:hAnsi="Times New Roman"/>
              </w:rPr>
              <w:t>0050-0060</w:t>
            </w:r>
          </w:p>
        </w:tc>
        <w:tc>
          <w:tcPr>
            <w:tcW w:w="7813" w:type="dxa"/>
          </w:tcPr>
          <w:p w14:paraId="3388E222"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Instrumenten waarvan de belangrijkste risicofactor het aandelenrisico is</w:t>
            </w:r>
          </w:p>
        </w:tc>
      </w:tr>
      <w:tr w:rsidR="009B2CA6" w:rsidRPr="00037E7B" w14:paraId="615194B9" w14:textId="77777777" w:rsidTr="00723BA8">
        <w:trPr>
          <w:trHeight w:val="70"/>
        </w:trPr>
        <w:tc>
          <w:tcPr>
            <w:tcW w:w="1203" w:type="dxa"/>
          </w:tcPr>
          <w:p w14:paraId="39A575D7" w14:textId="6612F010" w:rsidR="009B2CA6" w:rsidRPr="00037E7B" w:rsidRDefault="00A17954">
            <w:pPr>
              <w:pStyle w:val="BodyText"/>
              <w:spacing w:before="120" w:after="120"/>
              <w:rPr>
                <w:rFonts w:ascii="Times New Roman" w:hAnsi="Times New Roman" w:cs="Times New Roman"/>
              </w:rPr>
            </w:pPr>
            <w:r>
              <w:rPr>
                <w:rFonts w:ascii="Times New Roman" w:hAnsi="Times New Roman"/>
              </w:rPr>
              <w:t>0070-0080</w:t>
            </w:r>
          </w:p>
        </w:tc>
        <w:tc>
          <w:tcPr>
            <w:tcW w:w="7813" w:type="dxa"/>
          </w:tcPr>
          <w:p w14:paraId="1BA6993E"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Instrumenten waarvan de belangrijkste risicofactor het valutarisico is</w:t>
            </w:r>
          </w:p>
        </w:tc>
      </w:tr>
      <w:tr w:rsidR="009B2CA6" w:rsidRPr="00037E7B" w14:paraId="6C784F43" w14:textId="77777777" w:rsidTr="00723BA8">
        <w:trPr>
          <w:trHeight w:val="70"/>
        </w:trPr>
        <w:tc>
          <w:tcPr>
            <w:tcW w:w="1203" w:type="dxa"/>
          </w:tcPr>
          <w:p w14:paraId="11C355B3" w14:textId="7F907F02" w:rsidR="009B2CA6" w:rsidRPr="00037E7B" w:rsidRDefault="00A17954">
            <w:pPr>
              <w:pStyle w:val="BodyText"/>
              <w:spacing w:before="120" w:after="120"/>
              <w:rPr>
                <w:rFonts w:ascii="Times New Roman" w:hAnsi="Times New Roman" w:cs="Times New Roman"/>
              </w:rPr>
            </w:pPr>
            <w:r>
              <w:rPr>
                <w:rFonts w:ascii="Times New Roman" w:hAnsi="Times New Roman"/>
              </w:rPr>
              <w:t>0090-0100</w:t>
            </w:r>
          </w:p>
        </w:tc>
        <w:tc>
          <w:tcPr>
            <w:tcW w:w="7813" w:type="dxa"/>
          </w:tcPr>
          <w:p w14:paraId="0DBB7B5D"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Instrumenten waarvan de belangrijkste risicofactor het grondstoffenrisico is</w:t>
            </w:r>
          </w:p>
        </w:tc>
      </w:tr>
      <w:tr w:rsidR="009B2CA6" w:rsidRPr="00037E7B" w14:paraId="621D668A" w14:textId="77777777">
        <w:trPr>
          <w:trHeight w:val="70"/>
        </w:trPr>
        <w:tc>
          <w:tcPr>
            <w:tcW w:w="1203" w:type="dxa"/>
          </w:tcPr>
          <w:p w14:paraId="5E85AB2F" w14:textId="7FA64DA7" w:rsidR="009B2CA6" w:rsidRPr="00037E7B" w:rsidRDefault="00A17954">
            <w:pPr>
              <w:pStyle w:val="BodyText"/>
              <w:spacing w:before="120" w:after="120"/>
              <w:rPr>
                <w:rFonts w:ascii="Times New Roman" w:hAnsi="Times New Roman" w:cs="Times New Roman"/>
              </w:rPr>
            </w:pPr>
            <w:r>
              <w:rPr>
                <w:rFonts w:ascii="Times New Roman" w:hAnsi="Times New Roman"/>
              </w:rPr>
              <w:t>0110 - 0120</w:t>
            </w:r>
          </w:p>
        </w:tc>
        <w:tc>
          <w:tcPr>
            <w:tcW w:w="7813" w:type="dxa"/>
            <w:vAlign w:val="bottom"/>
          </w:tcPr>
          <w:p w14:paraId="05743526" w14:textId="39B8C6D0" w:rsidR="00A17954" w:rsidRPr="00037E7B" w:rsidRDefault="00D35757" w:rsidP="00A17954">
            <w:pPr>
              <w:pStyle w:val="BodyText"/>
              <w:spacing w:before="120" w:after="120"/>
              <w:rPr>
                <w:rFonts w:ascii="Times New Roman" w:hAnsi="Times New Roman" w:cs="Times New Roman"/>
                <w:b/>
                <w:u w:val="single"/>
              </w:rPr>
            </w:pPr>
            <w:r>
              <w:rPr>
                <w:rFonts w:ascii="Times New Roman" w:hAnsi="Times New Roman"/>
                <w:b/>
                <w:u w:val="single"/>
              </w:rPr>
              <w:t>Andere instrumenten in de handelsportefeuille, met inbegrip van instrumenten waarvan de belangrijkste risicofactor een restrisico is</w:t>
            </w:r>
          </w:p>
          <w:p w14:paraId="49050F01" w14:textId="0520CC26" w:rsidR="009B2CA6" w:rsidRPr="00723BA8" w:rsidRDefault="00D35757">
            <w:pPr>
              <w:pStyle w:val="BodyText"/>
              <w:spacing w:before="120" w:after="120"/>
              <w:rPr>
                <w:rFonts w:hint="eastAsia"/>
              </w:rPr>
            </w:pPr>
            <w:r>
              <w:t xml:space="preserve">Instellingen rapporteren in deze rijen instrumenten die aan de handelsportefeuille zijn toegewezen en waarvan de belangrijkste risicofactor niet een van de in de rijen 0030 tot en met 0100 bedoelde risicofactoren is. Deze rijen omvatten ten minste instrumenten waarvan de belangrijkste risicofactor een restrisico is.  </w:t>
            </w:r>
          </w:p>
        </w:tc>
      </w:tr>
      <w:tr w:rsidR="009B2CA6" w:rsidRPr="00037E7B" w14:paraId="461D04B3" w14:textId="77777777">
        <w:trPr>
          <w:trHeight w:val="70"/>
        </w:trPr>
        <w:tc>
          <w:tcPr>
            <w:tcW w:w="1203" w:type="dxa"/>
          </w:tcPr>
          <w:p w14:paraId="1CF3996C" w14:textId="0F9E87BA" w:rsidR="009B2CA6" w:rsidRPr="00037E7B" w:rsidRDefault="00546BA6">
            <w:pPr>
              <w:pStyle w:val="BodyText"/>
              <w:spacing w:before="120" w:after="120"/>
              <w:rPr>
                <w:rFonts w:ascii="Times New Roman" w:hAnsi="Times New Roman" w:cs="Times New Roman"/>
              </w:rPr>
            </w:pPr>
            <w:r>
              <w:rPr>
                <w:rFonts w:ascii="Times New Roman" w:hAnsi="Times New Roman"/>
              </w:rPr>
              <w:t>0130 - 0140</w:t>
            </w:r>
          </w:p>
        </w:tc>
        <w:tc>
          <w:tcPr>
            <w:tcW w:w="7813" w:type="dxa"/>
            <w:vAlign w:val="bottom"/>
          </w:tcPr>
          <w:p w14:paraId="48517D2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Pro-memoriepost: Instrumenten ingedeeld als aangehouden voor handelsdoeleinden in het raamwerk voor financiële verslaggeving</w:t>
            </w:r>
          </w:p>
          <w:p w14:paraId="3A1B5873" w14:textId="2B81F1B6" w:rsidR="009B2CA6" w:rsidRPr="00037E7B" w:rsidRDefault="009B2CA6" w:rsidP="00723BA8">
            <w:pPr>
              <w:pStyle w:val="BodyText"/>
              <w:spacing w:before="120" w:after="120"/>
              <w:rPr>
                <w:rFonts w:ascii="Times New Roman" w:hAnsi="Times New Roman" w:cs="Times New Roman"/>
              </w:rPr>
            </w:pPr>
            <w:r>
              <w:rPr>
                <w:rFonts w:ascii="Times New Roman" w:hAnsi="Times New Roman"/>
              </w:rPr>
              <w:t>Artikel 104, lid 2, eerste alinea, punt d), van Verordening (EU) 575/2013</w:t>
            </w:r>
          </w:p>
        </w:tc>
      </w:tr>
    </w:tbl>
    <w:p w14:paraId="59860518" w14:textId="5FCC674D" w:rsidR="00AB3069" w:rsidRPr="00037E7B" w:rsidRDefault="00201582" w:rsidP="000059B8">
      <w:pPr>
        <w:pStyle w:val="Instructionsberschrift2"/>
        <w:numPr>
          <w:ilvl w:val="0"/>
          <w:numId w:val="0"/>
        </w:numPr>
        <w:ind w:left="357" w:hanging="357"/>
      </w:pPr>
      <w:bookmarkStart w:id="15" w:name="_Toc151714544"/>
      <w:r>
        <w:rPr>
          <w:rFonts w:ascii="Times New Roman" w:hAnsi="Times New Roman"/>
          <w:sz w:val="24"/>
        </w:rPr>
        <w:t>9.3 C 24.01 - Grens handelsportefeuille – Herindelingen tussen portefeuilles (MOV)</w:t>
      </w:r>
      <w:bookmarkEnd w:id="15"/>
    </w:p>
    <w:p w14:paraId="36E171AE"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9.3.1.</w:t>
      </w:r>
      <w:r>
        <w:rPr>
          <w:rFonts w:ascii="Times New Roman" w:hAnsi="Times New Roman"/>
          <w:u w:val="none"/>
        </w:rPr>
        <w:tab/>
      </w:r>
      <w:r>
        <w:rPr>
          <w:rFonts w:ascii="Times New Roman" w:hAnsi="Times New Roman"/>
          <w:sz w:val="24"/>
          <w:u w:val="none"/>
        </w:rPr>
        <w:t>Algemene opmerkingen</w:t>
      </w:r>
    </w:p>
    <w:p w14:paraId="01D302B5" w14:textId="77777777" w:rsidR="00F65FA6" w:rsidRPr="00037E7B" w:rsidRDefault="00F65FA6" w:rsidP="00F65FA6">
      <w:pPr>
        <w:pStyle w:val="InstructionsText2"/>
        <w:numPr>
          <w:ilvl w:val="0"/>
          <w:numId w:val="61"/>
        </w:numPr>
        <w:spacing w:line="259" w:lineRule="auto"/>
      </w:pPr>
      <w:r>
        <w:t xml:space="preserve">Deze template wordt gebruikt om informatie te verstrekken over de herindeling van posities overeenkomstig artikel 104 bis van Verordening (EU) nr. 575/2013. </w:t>
      </w:r>
    </w:p>
    <w:p w14:paraId="171B977F" w14:textId="77777777" w:rsidR="00F65FA6" w:rsidRPr="00037E7B" w:rsidRDefault="00F65FA6" w:rsidP="00F65FA6">
      <w:pPr>
        <w:pStyle w:val="InstructionsText2"/>
        <w:numPr>
          <w:ilvl w:val="0"/>
          <w:numId w:val="61"/>
        </w:numPr>
        <w:spacing w:line="259" w:lineRule="auto"/>
      </w:pPr>
      <w:r>
        <w:t>Herindelingen worden in deze template in slecht twee gevallen gerapporteerd:</w:t>
      </w:r>
    </w:p>
    <w:p w14:paraId="188FB065" w14:textId="1E43754D" w:rsidR="00F65FA6" w:rsidRPr="00037E7B" w:rsidRDefault="00F65FA6" w:rsidP="00F65FA6">
      <w:pPr>
        <w:pStyle w:val="InstructionsText2"/>
        <w:numPr>
          <w:ilvl w:val="1"/>
          <w:numId w:val="61"/>
        </w:numPr>
        <w:spacing w:line="259" w:lineRule="auto"/>
      </w:pPr>
      <w:r>
        <w:t>als de bevoegde autoriteit toestemming heeft gegeven voor de herindeling van een positie in de handelsportefeuille naar een positie in de niet-handelsportefeuille of omgekeerd;</w:t>
      </w:r>
    </w:p>
    <w:p w14:paraId="5B6EC138" w14:textId="25B6D89E" w:rsidR="00F65FA6" w:rsidRPr="00037E7B" w:rsidRDefault="00F65FA6" w:rsidP="00F65FA6">
      <w:pPr>
        <w:pStyle w:val="InstructionsText2"/>
        <w:numPr>
          <w:ilvl w:val="1"/>
          <w:numId w:val="61"/>
        </w:numPr>
        <w:spacing w:line="259" w:lineRule="auto"/>
      </w:pPr>
      <w:r>
        <w:t>als de herindeling voldoet aan de voorwaarden bepaald in artikel 104 bis, lid 6, van Verordening (EU) nr. 575/2013 en kan worden uitgevoerd zonder uitdrukkelijke toestemming van de bevoegde autoriteit.</w:t>
      </w:r>
    </w:p>
    <w:p w14:paraId="42F779D4" w14:textId="77777777" w:rsidR="00F65FA6" w:rsidRPr="00037E7B" w:rsidRDefault="00F65FA6" w:rsidP="00F65FA6">
      <w:pPr>
        <w:pStyle w:val="InstructionsText2"/>
        <w:numPr>
          <w:ilvl w:val="0"/>
          <w:numId w:val="61"/>
        </w:numPr>
        <w:spacing w:line="259" w:lineRule="auto"/>
      </w:pPr>
      <w:r>
        <w:t>De volgende heringedeelde instrumenten worden in de template gerapporteerd:</w:t>
      </w:r>
    </w:p>
    <w:p w14:paraId="2B0996DA" w14:textId="3EB81158" w:rsidR="00F65FA6" w:rsidRPr="00037E7B" w:rsidRDefault="00F65FA6" w:rsidP="00F65FA6">
      <w:pPr>
        <w:pStyle w:val="InstructionsText2"/>
        <w:numPr>
          <w:ilvl w:val="1"/>
          <w:numId w:val="61"/>
        </w:numPr>
        <w:spacing w:line="259" w:lineRule="auto"/>
      </w:pPr>
      <w:r>
        <w:t>instrumenten die tijdens het kwartaal waarnaar het rapport verwijst, zijn heringedeeld. Alle tijdens het kwartaal heringedeelde instrumenten worde in de template gerapporteerd, ongeacht of de herindeling leidt tot een vermindering van de eigenvermogensvereisten. Een tijdens het kwartaal heringedeeld instrument wordt gerapporteerd, ook als het instrument niet langer is opgenomen of is vervallen tussen de datum van herindeling en de referentiedatum van het rapport;</w:t>
      </w:r>
    </w:p>
    <w:p w14:paraId="29ED050F" w14:textId="56E21CB0" w:rsidR="00F65FA6" w:rsidRPr="00037E7B" w:rsidRDefault="00F65FA6" w:rsidP="00F65FA6">
      <w:pPr>
        <w:pStyle w:val="InstructionsText2"/>
        <w:numPr>
          <w:ilvl w:val="1"/>
          <w:numId w:val="61"/>
        </w:numPr>
        <w:spacing w:line="259" w:lineRule="auto"/>
      </w:pPr>
      <w:r>
        <w:t xml:space="preserve">in voorgaande rapportageperiodes heringedeelde instrumenten die nog steeds een eigenvermogensvereiste hebben overeenkomstig artikel 104 bis, lid 3, punt b), van Verordening (EU) nr. 575/2013 vanaf de referentiedatum van het rapport; </w:t>
      </w:r>
    </w:p>
    <w:p w14:paraId="04E7DE74" w14:textId="0EA265BF" w:rsidR="00F65FA6" w:rsidRPr="00037E7B" w:rsidRDefault="00F65FA6" w:rsidP="00F65FA6">
      <w:pPr>
        <w:pStyle w:val="InstructionsText2"/>
        <w:numPr>
          <w:ilvl w:val="1"/>
          <w:numId w:val="61"/>
        </w:numPr>
        <w:spacing w:line="259" w:lineRule="auto"/>
      </w:pPr>
      <w:r>
        <w:t>in voorgaande rapportageperiodes heringedeelde instrumenten die eigenvermogensvereisten hadden overeenkomstig artikel 104 bis, lid 3, punt b), van Verordening (EU) nr. 575/2013 op de voorgaande referentiedatum, waarbij de toestemming van de bevoegde autoriteit om de vermindering van de eigenvermogensvereisten op te nemen, ingaat tijdens het kwartaal waarop het rapport betrekking heeft.</w:t>
      </w:r>
    </w:p>
    <w:p w14:paraId="4E4DBEFD" w14:textId="77777777" w:rsidR="00F65FA6" w:rsidRPr="00037E7B" w:rsidRDefault="00F65FA6" w:rsidP="00F65FA6">
      <w:pPr>
        <w:pStyle w:val="InstructionsText2"/>
        <w:numPr>
          <w:ilvl w:val="0"/>
          <w:numId w:val="61"/>
        </w:numPr>
        <w:spacing w:line="259" w:lineRule="auto"/>
      </w:pPr>
      <w:r>
        <w:t>Instellingen rapporteren informatie over de herindeling afzonderlijk voor elk heringedeeld instrument.</w:t>
      </w:r>
    </w:p>
    <w:p w14:paraId="17A4C841" w14:textId="77777777" w:rsidR="00F65FA6" w:rsidRPr="00037E7B" w:rsidDel="00BC604C" w:rsidRDefault="00F65FA6" w:rsidP="00F65FA6">
      <w:pPr>
        <w:pStyle w:val="InstructionsText2"/>
        <w:numPr>
          <w:ilvl w:val="0"/>
          <w:numId w:val="61"/>
        </w:numPr>
        <w:spacing w:line="259" w:lineRule="auto"/>
      </w:pPr>
      <w:r>
        <w:t xml:space="preserve">De term “compensatiegroep” wordt gebruikt om de compensatiegroep aan te duiden die de entiteit omvat die op de referentiedatum dan wel op de vervaldag of de dag van beëindiging van de opname, de positie aanhield. </w:t>
      </w:r>
    </w:p>
    <w:p w14:paraId="27A31F03"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9.3.2.</w:t>
      </w:r>
      <w:r>
        <w:rPr>
          <w:rFonts w:ascii="Times New Roman" w:hAnsi="Times New Roman"/>
          <w:sz w:val="24"/>
          <w:u w:val="none"/>
        </w:rPr>
        <w:tab/>
        <w:t>Instructies voor specifieke posities</w:t>
      </w:r>
    </w:p>
    <w:tbl>
      <w:tblPr>
        <w:tblStyle w:val="TableGrid"/>
        <w:tblW w:w="0" w:type="auto"/>
        <w:tblLook w:val="04A0" w:firstRow="1" w:lastRow="0" w:firstColumn="1" w:lastColumn="0" w:noHBand="0" w:noVBand="1"/>
      </w:tblPr>
      <w:tblGrid>
        <w:gridCol w:w="1203"/>
        <w:gridCol w:w="7813"/>
      </w:tblGrid>
      <w:tr w:rsidR="00F65FA6" w:rsidRPr="00037E7B" w14:paraId="4E787111" w14:textId="77777777" w:rsidTr="00E02007">
        <w:tc>
          <w:tcPr>
            <w:tcW w:w="1203" w:type="dxa"/>
            <w:shd w:val="clear" w:color="auto" w:fill="BFBFBF" w:themeFill="background1" w:themeFillShade="BF"/>
          </w:tcPr>
          <w:p w14:paraId="37E96ED0"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Kolom</w:t>
            </w:r>
          </w:p>
        </w:tc>
        <w:tc>
          <w:tcPr>
            <w:tcW w:w="7813" w:type="dxa"/>
            <w:shd w:val="clear" w:color="auto" w:fill="BFBFBF" w:themeFill="background1" w:themeFillShade="BF"/>
          </w:tcPr>
          <w:p w14:paraId="114CE84C"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Verwijzingen naar wetgeving en instructies</w:t>
            </w:r>
          </w:p>
        </w:tc>
      </w:tr>
      <w:tr w:rsidR="00F65FA6" w:rsidRPr="00037E7B" w14:paraId="7804A6AA" w14:textId="77777777" w:rsidTr="00E02007">
        <w:trPr>
          <w:trHeight w:val="1408"/>
        </w:trPr>
        <w:tc>
          <w:tcPr>
            <w:tcW w:w="1203" w:type="dxa"/>
          </w:tcPr>
          <w:p w14:paraId="7D96819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0010</w:t>
            </w:r>
          </w:p>
        </w:tc>
        <w:tc>
          <w:tcPr>
            <w:tcW w:w="7813" w:type="dxa"/>
            <w:vAlign w:val="bottom"/>
          </w:tcPr>
          <w:p w14:paraId="11F7B8E9"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Herindelings-ID</w:t>
            </w:r>
          </w:p>
          <w:p w14:paraId="677D77C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Interne (alfanumerieke) code gebruikt door de rapporterende entiteit om het heringedeelde instrument dan wel de herindeling te identificeren.</w:t>
            </w:r>
          </w:p>
          <w:p w14:paraId="5368921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Elke herindeling moet met een verschillende herindelings-ID worden verbonden. het herindelings-ID dat aan een en dezelfde herindeling wordt toegewezen, is uniek en moet consistent in de tijd en in alle rapporten worden gebruikt.</w:t>
            </w:r>
          </w:p>
          <w:p w14:paraId="6DB947C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Dit is een identificatiecode van een rij en is uniek voor elke rij in de template.</w:t>
            </w:r>
          </w:p>
        </w:tc>
      </w:tr>
      <w:tr w:rsidR="00F65FA6" w:rsidRPr="00037E7B" w14:paraId="59ECF46A" w14:textId="77777777" w:rsidTr="00E02007">
        <w:tc>
          <w:tcPr>
            <w:tcW w:w="1203" w:type="dxa"/>
          </w:tcPr>
          <w:p w14:paraId="657AB94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3022937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Soort instrument</w:t>
            </w:r>
          </w:p>
          <w:p w14:paraId="397FF85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Korte beschrijving van het instrument dat werd heringedeeld, zodat de aard en de voornaamste kenmerken van het heringedeelde instrument duidelijk zijn. </w:t>
            </w:r>
          </w:p>
          <w:p w14:paraId="7D66558D"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Als het heringedeelde instrument een International Securities Identification Number (ISIN) heeft, wordt dit ISIN ook opgenomen in de beschrijving. </w:t>
            </w:r>
          </w:p>
        </w:tc>
      </w:tr>
      <w:tr w:rsidR="00F65FA6" w:rsidRPr="00037E7B" w14:paraId="4307D827" w14:textId="77777777" w:rsidTr="00E02007">
        <w:tc>
          <w:tcPr>
            <w:tcW w:w="1203" w:type="dxa"/>
          </w:tcPr>
          <w:p w14:paraId="7269597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0030</w:t>
            </w:r>
          </w:p>
        </w:tc>
        <w:tc>
          <w:tcPr>
            <w:tcW w:w="7813" w:type="dxa"/>
            <w:vAlign w:val="bottom"/>
          </w:tcPr>
          <w:p w14:paraId="4E9993E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Portefeuille waaruit het instrument werd heringedeeld</w:t>
            </w:r>
          </w:p>
          <w:p w14:paraId="74CBD9F5"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Een van de volgende mogelijkheden wordt aangegeven:</w:t>
            </w:r>
          </w:p>
          <w:p w14:paraId="4B75926D"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Handelsportefeuille</w:t>
            </w:r>
            <w:r>
              <w:rPr>
                <w:rFonts w:ascii="Times New Roman" w:hAnsi="Times New Roman"/>
              </w:rPr>
              <w:br/>
              <w:t>Artikel 4, lid 1, punt 86, van Verordening (EU) nr. 575/2013</w:t>
            </w:r>
          </w:p>
          <w:p w14:paraId="787F3457"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 xml:space="preserve">Niet-handelsportefeuille </w:t>
            </w:r>
            <w:r>
              <w:rPr>
                <w:rFonts w:ascii="Times New Roman" w:hAnsi="Times New Roman"/>
              </w:rPr>
              <w:br/>
              <w:t>Alle posities die niet in de handelsportefeuille zijn opgenomen.</w:t>
            </w:r>
          </w:p>
        </w:tc>
      </w:tr>
      <w:tr w:rsidR="00F65FA6" w:rsidRPr="00037E7B" w14:paraId="47BC0AA3" w14:textId="77777777" w:rsidTr="00E02007">
        <w:tc>
          <w:tcPr>
            <w:tcW w:w="1203" w:type="dxa"/>
          </w:tcPr>
          <w:p w14:paraId="1EFC356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0040</w:t>
            </w:r>
          </w:p>
        </w:tc>
        <w:tc>
          <w:tcPr>
            <w:tcW w:w="7813" w:type="dxa"/>
            <w:vAlign w:val="bottom"/>
          </w:tcPr>
          <w:p w14:paraId="4C994CB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Portefeuille waarin het instrument werd heringedeeld</w:t>
            </w:r>
          </w:p>
          <w:p w14:paraId="3021E1D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Een van de volgende mogelijkheden wordt aangegeven:</w:t>
            </w:r>
          </w:p>
          <w:p w14:paraId="1EE13C76"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Handelsportefeuille</w:t>
            </w:r>
            <w:r>
              <w:rPr>
                <w:rFonts w:ascii="Times New Roman" w:hAnsi="Times New Roman"/>
              </w:rPr>
              <w:br/>
              <w:t>Artikel 4, lid 1, punt 86, van Verordening (EU) nr. 575/2013</w:t>
            </w:r>
          </w:p>
          <w:p w14:paraId="41D9486B"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Niet-handelsportefeuille</w:t>
            </w:r>
            <w:r>
              <w:rPr>
                <w:rFonts w:ascii="Times New Roman" w:hAnsi="Times New Roman"/>
              </w:rPr>
              <w:br/>
              <w:t>Alle posities die niet in de handelsportefeuille zijn opgenomen.</w:t>
            </w:r>
          </w:p>
        </w:tc>
      </w:tr>
      <w:tr w:rsidR="00F65FA6" w:rsidRPr="00037E7B" w14:paraId="14476FEB" w14:textId="77777777" w:rsidTr="00E02007">
        <w:tc>
          <w:tcPr>
            <w:tcW w:w="1203" w:type="dxa"/>
          </w:tcPr>
          <w:p w14:paraId="13F0D9EC"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0050</w:t>
            </w:r>
          </w:p>
        </w:tc>
        <w:tc>
          <w:tcPr>
            <w:tcW w:w="7813" w:type="dxa"/>
            <w:vAlign w:val="bottom"/>
          </w:tcPr>
          <w:p w14:paraId="19E4E9E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Reden voor de herindeling</w:t>
            </w:r>
          </w:p>
          <w:p w14:paraId="7DED50F3"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De uitzonderlijke omstandigheden die hebben geleid tot de herindeling van de positie tussen de boeken, worden uiteengezet. De in deze cel verstrekte toelichting is gedetailleerd genoeg om te verklaren waarom de herindeling als uitzonderlijke omstandigheid wordt beschouwd.</w:t>
            </w:r>
          </w:p>
        </w:tc>
      </w:tr>
      <w:tr w:rsidR="00F65FA6" w:rsidRPr="00037E7B" w14:paraId="490381CE" w14:textId="77777777" w:rsidTr="00E02007">
        <w:tc>
          <w:tcPr>
            <w:tcW w:w="1203" w:type="dxa"/>
          </w:tcPr>
          <w:p w14:paraId="139D44B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0060</w:t>
            </w:r>
          </w:p>
        </w:tc>
        <w:tc>
          <w:tcPr>
            <w:tcW w:w="7813" w:type="dxa"/>
            <w:vAlign w:val="bottom"/>
          </w:tcPr>
          <w:p w14:paraId="1362F39C"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Voorafgaande toestemming (status)</w:t>
            </w:r>
          </w:p>
          <w:p w14:paraId="56285F31"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Artikel 104 bis, leden 2 en 6, van Verordening (EU) nr. 575/2013</w:t>
            </w:r>
          </w:p>
          <w:p w14:paraId="65D8CB7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Als overeenkomstig artikel 104 bis, lid 6, van Verordening (EU) nr. 575/2013 geen voorafgaande toestemming van de bevoegde autoriteit vereist is, vermelden de instellingen in deze kolom “Geen voorafgaande toestemming vereist”. Als die voorafgaande toestemming wel vereist is en is verkregen, vermelden zij in deze kolom “Voorafgaande toestemming verkregen”.</w:t>
            </w:r>
          </w:p>
        </w:tc>
      </w:tr>
      <w:tr w:rsidR="00F65FA6" w:rsidRPr="00037E7B" w14:paraId="78F1574B" w14:textId="77777777" w:rsidTr="00E02007">
        <w:tc>
          <w:tcPr>
            <w:tcW w:w="1203" w:type="dxa"/>
          </w:tcPr>
          <w:p w14:paraId="26979E4B"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0070</w:t>
            </w:r>
          </w:p>
        </w:tc>
        <w:tc>
          <w:tcPr>
            <w:tcW w:w="7813" w:type="dxa"/>
            <w:vAlign w:val="bottom"/>
          </w:tcPr>
          <w:p w14:paraId="21A070A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Datum van herindeling</w:t>
            </w:r>
          </w:p>
          <w:p w14:paraId="230E5C2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Artikel 104 bis, leden 2 en 6, eerste zin, van Verordening (EU) nr. 575/2013</w:t>
            </w:r>
          </w:p>
        </w:tc>
      </w:tr>
      <w:tr w:rsidR="00F65FA6" w:rsidRPr="00037E7B" w14:paraId="0E22B962" w14:textId="77777777" w:rsidTr="00E02007">
        <w:tc>
          <w:tcPr>
            <w:tcW w:w="1203" w:type="dxa"/>
          </w:tcPr>
          <w:p w14:paraId="5DAEDB5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0080</w:t>
            </w:r>
          </w:p>
        </w:tc>
        <w:tc>
          <w:tcPr>
            <w:tcW w:w="7813" w:type="dxa"/>
            <w:vAlign w:val="bottom"/>
          </w:tcPr>
          <w:p w14:paraId="1822A08F"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Netto (+) stijging of (-) vermindering van eigenvermogensvereisten door de herindeling</w:t>
            </w:r>
          </w:p>
          <w:p w14:paraId="037647A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De nettoverandering in het bedrag van eigenvermogensvereisten die voortvloeit uit de herindeling van de positie, berekend overeenkomstig artikel 104 bis, lid 4, van Verordening (EU) nr. 575/2013.</w:t>
            </w:r>
          </w:p>
          <w:p w14:paraId="6BA75988"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Een stijging van de eigenvermogensvereisten die voortvloeit uit de herindeling wordt gerapporteerd met een plusteken (+), een daling met een minteken (–).</w:t>
            </w:r>
          </w:p>
        </w:tc>
      </w:tr>
      <w:tr w:rsidR="00F65FA6" w:rsidRPr="00037E7B" w14:paraId="22693EF8" w14:textId="77777777" w:rsidTr="00E02007">
        <w:tc>
          <w:tcPr>
            <w:tcW w:w="1203" w:type="dxa"/>
          </w:tcPr>
          <w:p w14:paraId="652EAB8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0090</w:t>
            </w:r>
          </w:p>
        </w:tc>
        <w:tc>
          <w:tcPr>
            <w:tcW w:w="7813" w:type="dxa"/>
            <w:vAlign w:val="bottom"/>
          </w:tcPr>
          <w:p w14:paraId="4A786750"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Opslagfactor voor eigenvermogensvereisten door de herindeling </w:t>
            </w:r>
          </w:p>
          <w:p w14:paraId="08204427"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Als de nettoverandering in het bedrag van eigenvermogensvereisten die voortvloeit uit de herindeling van de positie, berekend overeenkomstig artikel 104 bis, lid 4, van Verordening (EU) nr. 575/2013, een vermindering vertegenwoordigt van de eigenvermogensvereisten van de instelling en de bevoegde autoriteit niet toestond die vermindering op te nemen overeenkomstig artikel 104 bis, lid 3, punt b), van Verordening (EU) nr. 575/2013, wordt het bedrag van de vermindering gerapporteerd met een plusteken. De waarde vertegenwoordigt de opslagfactor voor de eigenvermogensvereisten voor de herindeling in kwestie.</w:t>
            </w:r>
          </w:p>
          <w:p w14:paraId="58E348B5"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Als de bevoegde autoriteit toestemde om de vermindering van de eigenvermogensvereisten op te nemen overeenkomstig artikel 104 bis, lid 3, punt b), van Verordening (EU) nr. 575/2013, blijft deze kolom leeg.</w:t>
            </w:r>
          </w:p>
        </w:tc>
      </w:tr>
      <w:tr w:rsidR="00F65FA6" w:rsidRPr="00037E7B" w14:paraId="33A66CF2" w14:textId="77777777" w:rsidTr="00E02007">
        <w:tc>
          <w:tcPr>
            <w:tcW w:w="1203" w:type="dxa"/>
          </w:tcPr>
          <w:p w14:paraId="3AA16332"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0100</w:t>
            </w:r>
          </w:p>
        </w:tc>
        <w:tc>
          <w:tcPr>
            <w:tcW w:w="7813" w:type="dxa"/>
            <w:vAlign w:val="bottom"/>
          </w:tcPr>
          <w:p w14:paraId="5C674A5B"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Vervaldag of voorgenomen beëindiging van opname van het instrument</w:t>
            </w:r>
          </w:p>
          <w:p w14:paraId="019C730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Als een uitboeking van het instrument niet is voorgenomen, wordt de looptijd van het instrument gerapporteerd. </w:t>
            </w:r>
          </w:p>
          <w:p w14:paraId="69F6AC70"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Als wordt voorgenomen het instrument vóór de vervaldag ervan uit te boeken, wordt de voorgenomen datum van beëindiging van opname gerapporteerd.</w:t>
            </w:r>
          </w:p>
          <w:p w14:paraId="3742220D"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Als alleen de maand en het jaar van de vervaldatum of beëindiging van opname bekend zijn, wordt de vervaldatum of voorgenomen beëindiging van opname van het instrument gerapporteerd als de laatste dag van de maand. Als alleen het jaar van de vervaldatum of beëindiging van opname bekend is, wordt de vervaldatum of voorgenomen beëindiging van opname gerapporteerd als 31 december van dat jaar.</w:t>
            </w:r>
          </w:p>
          <w:p w14:paraId="7F211819"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Als de vervaldatum of de datum van beëindiging van opname niet kan worden vastgesteld of niet bekend is, wordt in deze kolom 31 december 9999 aangegeven. </w:t>
            </w:r>
          </w:p>
        </w:tc>
      </w:tr>
      <w:tr w:rsidR="00F65FA6" w:rsidRPr="00FE3C59" w14:paraId="0A30C5DF" w14:textId="77777777" w:rsidTr="00E02007">
        <w:tc>
          <w:tcPr>
            <w:tcW w:w="1203" w:type="dxa"/>
          </w:tcPr>
          <w:p w14:paraId="12AE4F1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0110</w:t>
            </w:r>
          </w:p>
        </w:tc>
        <w:tc>
          <w:tcPr>
            <w:tcW w:w="7813" w:type="dxa"/>
            <w:vAlign w:val="bottom"/>
          </w:tcPr>
          <w:p w14:paraId="441DE52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Datum vanaf wanneer de bevoegde autoriteit de opname van de vermindering in de eigenvermogensvereisten toestaat</w:t>
            </w:r>
          </w:p>
          <w:p w14:paraId="49ECC5E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Artikel 104 bis, lid 3, punt b), van Verordening (EU) nr. 575/2013</w:t>
            </w:r>
          </w:p>
          <w:p w14:paraId="1B724794" w14:textId="77777777" w:rsidR="00F65FA6" w:rsidRPr="00FE3C59" w:rsidRDefault="00F65FA6" w:rsidP="00E02007">
            <w:pPr>
              <w:pStyle w:val="BodyText"/>
              <w:spacing w:before="120" w:after="120"/>
              <w:rPr>
                <w:rFonts w:ascii="Times New Roman" w:hAnsi="Times New Roman" w:cs="Times New Roman"/>
                <w:b/>
                <w:u w:val="single"/>
              </w:rPr>
            </w:pPr>
            <w:r>
              <w:rPr>
                <w:rFonts w:ascii="Times New Roman" w:hAnsi="Times New Roman"/>
              </w:rPr>
              <w:t>Als de herindeling heeft geleid tot een netto-verhoging van de eigenvermogensvereisten en als de bevoegde autoriteit geen toestemming heeft verleend om de vermindering van de eigenvermogensvereisten op te nemen, wordt geen datum aangegeven.”</w:t>
            </w:r>
          </w:p>
        </w:tc>
      </w:tr>
    </w:tbl>
    <w:p w14:paraId="0C23ABF8" w14:textId="77777777" w:rsidR="00F65FA6" w:rsidRPr="00FE3C59" w:rsidRDefault="00F65FA6" w:rsidP="00F65FA6">
      <w:pPr>
        <w:pStyle w:val="body"/>
        <w:rPr>
          <w:rFonts w:ascii="Times New Roman" w:hAnsi="Times New Roman" w:cs="Times New Roman"/>
          <w:lang w:val="en-GB"/>
        </w:rPr>
      </w:pPr>
    </w:p>
    <w:p w14:paraId="18DC5971" w14:textId="77777777" w:rsidR="00522E00" w:rsidRPr="00F65FA6" w:rsidRDefault="00522E00" w:rsidP="00F65FA6">
      <w:pPr>
        <w:pStyle w:val="body"/>
        <w:rPr>
          <w:rStyle w:val="InstructionsTabelleText"/>
          <w:rFonts w:ascii="Times New Roman" w:hAnsi="Times New Roman"/>
          <w:sz w:val="24"/>
          <w:lang w:val="en-GB"/>
        </w:rPr>
      </w:pPr>
    </w:p>
    <w:sectPr w:rsidR="00522E00" w:rsidRPr="00F65FA6"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46C8D792"/>
    <w:lvl w:ilvl="0">
      <w:start w:val="208"/>
      <w:numFmt w:val="decimal"/>
      <w:lvlText w:val="%1."/>
      <w:lvlJc w:val="left"/>
      <w:pPr>
        <w:ind w:left="1353" w:hanging="360"/>
      </w:pPr>
      <w:rPr>
        <w:rFonts w:hint="default"/>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B87"/>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CD9"/>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A01"/>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5046"/>
    <w:rPr>
      <w:rFonts w:ascii="Verdana" w:hAnsi="Verdana" w:cs="Times New Roman"/>
      <w:b/>
      <w:sz w:val="24"/>
      <w:szCs w:val="24"/>
      <w:u w:val="single"/>
      <w:lang w:val="nl-NL"/>
    </w:rPr>
  </w:style>
  <w:style w:type="character" w:customStyle="1" w:styleId="Heading3Char">
    <w:name w:val="Heading 3 Char"/>
    <w:aliases w:val="Title 2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nl-N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nl-NL"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4.xml><?xml version="1.0" encoding="utf-8"?>
<ds:datastoreItem xmlns:ds="http://schemas.openxmlformats.org/officeDocument/2006/customXml" ds:itemID="{1C7BD071-2478-4911-8B29-85443BE48F4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2610</Words>
  <Characters>15977</Characters>
  <Application>Microsoft Office Word</Application>
  <DocSecurity>0</DocSecurity>
  <Lines>409</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MARTENS Luc (DGT)</cp:lastModifiedBy>
  <cp:revision>5</cp:revision>
  <dcterms:created xsi:type="dcterms:W3CDTF">2024-06-19T18:09:00Z</dcterms:created>
  <dcterms:modified xsi:type="dcterms:W3CDTF">2025-01-24T10:10:00Z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2025-01-24T10:10:55Z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9d3cc199-3e07-4502-b213-57223b3aaade</vt:lpwstr>
  </property>
  <property fmtid="{D5CDD505-2E9C-101B-9397-08002B2CF9AE}" pid="9" name="MSIP_Label_6bd9ddd1-4d20-43f6-abfa-fc3c07406f94_ContentBits">
    <vt:lpwstr>0</vt:lpwstr>
  </property>
</Properties>
</file>